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FA9F" w14:textId="6F0B3009" w:rsidR="005452F1" w:rsidRPr="005B64CF" w:rsidRDefault="00843BC6" w:rsidP="005B64CF">
      <w:pPr>
        <w:jc w:val="center"/>
        <w:rPr>
          <w:rFonts w:ascii="Times New Roman" w:hAnsi="Times New Roman" w:cs="Times New Roman"/>
          <w:b/>
          <w:bCs/>
          <w:sz w:val="36"/>
          <w:szCs w:val="36"/>
          <w:lang w:val="uz-Latn-UZ"/>
        </w:rPr>
      </w:pPr>
      <w:r w:rsidRPr="00843BC6">
        <w:rPr>
          <w:rFonts w:ascii="Times New Roman" w:hAnsi="Times New Roman" w:cs="Times New Roman"/>
          <w:b/>
          <w:bCs/>
          <w:sz w:val="36"/>
          <w:szCs w:val="36"/>
          <w:lang w:val="uz-Latn-UZ"/>
        </w:rPr>
        <w:t>Analytical Report on Appeals from Individuals and Legal Entities Received by "KDB Bank Uzbekistan" JSC and Their Consideration During 2025</w:t>
      </w:r>
    </w:p>
    <w:p w14:paraId="40F6EE41" w14:textId="77777777" w:rsidR="00856AB3" w:rsidRDefault="00856AB3" w:rsidP="00DD3821">
      <w:pPr>
        <w:spacing w:after="0"/>
        <w:jc w:val="both"/>
        <w:rPr>
          <w:rFonts w:ascii="Times New Roman" w:hAnsi="Times New Roman" w:cs="Times New Roman"/>
          <w:sz w:val="24"/>
          <w:szCs w:val="24"/>
          <w:lang w:val="uz-Latn-UZ"/>
        </w:rPr>
      </w:pPr>
    </w:p>
    <w:p w14:paraId="0894171A" w14:textId="00703D58" w:rsidR="00DD3821" w:rsidRPr="00F00A65" w:rsidRDefault="00843BC6" w:rsidP="00F00A65">
      <w:p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This report was prepared for the Management Board of "KDB Bank Uzbekistan" JSC (hereinafter referred to as the "Bank") to discuss at its regular meeting the status of appeal processing, negative trends identified, systemic deficiencies, and specific risks. The objective is to develop measures to eliminate systemic shortcomings that lead to the violation of consumer rights.</w:t>
      </w:r>
    </w:p>
    <w:p w14:paraId="42987625" w14:textId="62917C6E" w:rsidR="005B64CF" w:rsidRPr="006D5BBB" w:rsidRDefault="00F00A65" w:rsidP="005452F1">
      <w:pPr>
        <w:rPr>
          <w:rFonts w:ascii="Times New Roman" w:hAnsi="Times New Roman" w:cs="Times New Roman"/>
          <w:b/>
          <w:bCs/>
          <w:i/>
          <w:iCs/>
          <w:color w:val="2F5496" w:themeColor="accent1" w:themeShade="BF"/>
          <w:sz w:val="24"/>
          <w:szCs w:val="24"/>
          <w:lang w:val="uz-Latn-UZ"/>
        </w:rPr>
      </w:pPr>
      <w:r w:rsidRPr="006D5BBB">
        <w:rPr>
          <w:rFonts w:ascii="Malgun Gothic" w:eastAsia="Malgun Gothic" w:hAnsi="Malgun Gothic" w:cs="Times New Roman" w:hint="eastAsia"/>
          <w:b/>
          <w:bCs/>
          <w:color w:val="2F5496" w:themeColor="accent1" w:themeShade="BF"/>
          <w:sz w:val="28"/>
          <w:szCs w:val="28"/>
          <w:lang w:val="uz-Latn-UZ"/>
        </w:rPr>
        <w:t>□</w:t>
      </w:r>
      <w:r w:rsidRPr="006D5BBB">
        <w:rPr>
          <w:rFonts w:ascii="Times New Roman" w:hAnsi="Times New Roman" w:cs="Times New Roman"/>
          <w:b/>
          <w:bCs/>
          <w:i/>
          <w:iCs/>
          <w:color w:val="2F5496" w:themeColor="accent1" w:themeShade="BF"/>
          <w:sz w:val="28"/>
          <w:szCs w:val="28"/>
          <w:lang w:val="uz-Latn-UZ"/>
        </w:rPr>
        <w:t xml:space="preserve"> </w:t>
      </w:r>
      <w:r w:rsidR="00843BC6" w:rsidRPr="00843BC6">
        <w:rPr>
          <w:rFonts w:ascii="Times New Roman" w:hAnsi="Times New Roman" w:cs="Times New Roman"/>
          <w:b/>
          <w:bCs/>
          <w:i/>
          <w:iCs/>
          <w:color w:val="2F5496" w:themeColor="accent1" w:themeShade="BF"/>
          <w:sz w:val="28"/>
          <w:szCs w:val="28"/>
          <w:lang w:val="uz-Latn-UZ"/>
        </w:rPr>
        <w:t>Statistical Summary</w:t>
      </w:r>
    </w:p>
    <w:p w14:paraId="5D20D180" w14:textId="4FB4035F" w:rsidR="00843BC6" w:rsidRDefault="00843BC6" w:rsidP="00793483">
      <w:p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During 2025, the Bank received a total of 7</w:t>
      </w:r>
      <w:r w:rsidR="00146AC5">
        <w:rPr>
          <w:rFonts w:ascii="Times New Roman" w:hAnsi="Times New Roman" w:cs="Times New Roman"/>
          <w:sz w:val="24"/>
          <w:szCs w:val="24"/>
          <w:lang w:val="uz-Latn-UZ"/>
        </w:rPr>
        <w:t>2</w:t>
      </w:r>
      <w:r w:rsidRPr="00843BC6">
        <w:rPr>
          <w:rFonts w:ascii="Times New Roman" w:hAnsi="Times New Roman" w:cs="Times New Roman"/>
          <w:sz w:val="24"/>
          <w:szCs w:val="24"/>
          <w:lang w:val="uz-Latn-UZ"/>
        </w:rPr>
        <w:t xml:space="preserve"> appeals from individuals and legal entities, all of which were reviewed in compliance with the requirements established by law and Bank regulations. </w:t>
      </w:r>
    </w:p>
    <w:p w14:paraId="7149DC25" w14:textId="30E525D1" w:rsidR="00FA3F67" w:rsidRDefault="00843BC6" w:rsidP="00793483">
      <w:p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 xml:space="preserve">By </w:t>
      </w:r>
      <w:r>
        <w:rPr>
          <w:rFonts w:ascii="Times New Roman" w:hAnsi="Times New Roman" w:cs="Times New Roman"/>
          <w:sz w:val="24"/>
          <w:szCs w:val="24"/>
          <w:lang w:val="uz-Latn-UZ"/>
        </w:rPr>
        <w:t>e</w:t>
      </w:r>
      <w:r w:rsidRPr="00843BC6">
        <w:rPr>
          <w:rFonts w:ascii="Times New Roman" w:hAnsi="Times New Roman" w:cs="Times New Roman"/>
          <w:sz w:val="24"/>
          <w:szCs w:val="24"/>
          <w:lang w:val="uz-Latn-UZ"/>
        </w:rPr>
        <w:t xml:space="preserve">ntity </w:t>
      </w:r>
      <w:r>
        <w:rPr>
          <w:rFonts w:ascii="Times New Roman" w:hAnsi="Times New Roman" w:cs="Times New Roman"/>
          <w:sz w:val="24"/>
          <w:szCs w:val="24"/>
          <w:lang w:val="uz-Latn-UZ"/>
        </w:rPr>
        <w:t>t</w:t>
      </w:r>
      <w:r w:rsidRPr="00843BC6">
        <w:rPr>
          <w:rFonts w:ascii="Times New Roman" w:hAnsi="Times New Roman" w:cs="Times New Roman"/>
          <w:sz w:val="24"/>
          <w:szCs w:val="24"/>
          <w:lang w:val="uz-Latn-UZ"/>
        </w:rPr>
        <w:t>ype: 7</w:t>
      </w:r>
      <w:r w:rsidR="00146AC5">
        <w:rPr>
          <w:rFonts w:ascii="Times New Roman" w:hAnsi="Times New Roman" w:cs="Times New Roman"/>
          <w:sz w:val="24"/>
          <w:szCs w:val="24"/>
          <w:lang w:val="uz-Latn-UZ"/>
        </w:rPr>
        <w:t>1</w:t>
      </w:r>
      <w:r w:rsidRPr="00843BC6">
        <w:rPr>
          <w:rFonts w:ascii="Times New Roman" w:hAnsi="Times New Roman" w:cs="Times New Roman"/>
          <w:sz w:val="24"/>
          <w:szCs w:val="24"/>
          <w:lang w:val="uz-Latn-UZ"/>
        </w:rPr>
        <w:t xml:space="preserve"> appeals from individuals and 1 from a legal entity.</w:t>
      </w:r>
    </w:p>
    <w:p w14:paraId="7CE6FF80" w14:textId="040D97E4" w:rsidR="00843BC6" w:rsidRDefault="00843BC6" w:rsidP="00793483">
      <w:p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 xml:space="preserve">By </w:t>
      </w:r>
      <w:r>
        <w:rPr>
          <w:rFonts w:ascii="Times New Roman" w:hAnsi="Times New Roman" w:cs="Times New Roman"/>
          <w:sz w:val="24"/>
          <w:szCs w:val="24"/>
          <w:lang w:val="uz-Latn-UZ"/>
        </w:rPr>
        <w:t>r</w:t>
      </w:r>
      <w:r w:rsidRPr="00843BC6">
        <w:rPr>
          <w:rFonts w:ascii="Times New Roman" w:hAnsi="Times New Roman" w:cs="Times New Roman"/>
          <w:sz w:val="24"/>
          <w:szCs w:val="24"/>
          <w:lang w:val="uz-Latn-UZ"/>
        </w:rPr>
        <w:t xml:space="preserve">egion: 1 from the Russian Federation, </w:t>
      </w:r>
      <w:r w:rsidR="00146AC5">
        <w:rPr>
          <w:rFonts w:ascii="Times New Roman" w:hAnsi="Times New Roman" w:cs="Times New Roman"/>
          <w:sz w:val="24"/>
          <w:szCs w:val="24"/>
          <w:lang w:val="uz-Latn-UZ"/>
        </w:rPr>
        <w:t>39</w:t>
      </w:r>
      <w:r w:rsidRPr="00843BC6">
        <w:rPr>
          <w:rFonts w:ascii="Times New Roman" w:hAnsi="Times New Roman" w:cs="Times New Roman"/>
          <w:sz w:val="24"/>
          <w:szCs w:val="24"/>
          <w:lang w:val="uz-Latn-UZ"/>
        </w:rPr>
        <w:t xml:space="preserve"> from Tashkent city, 2 from Bukhara, 11 from Tashkent region, 1 from Samarkand, and 1</w:t>
      </w:r>
      <w:r w:rsidR="00146AC5">
        <w:rPr>
          <w:rFonts w:ascii="Times New Roman" w:hAnsi="Times New Roman" w:cs="Times New Roman"/>
          <w:sz w:val="24"/>
          <w:szCs w:val="24"/>
          <w:lang w:val="uz-Latn-UZ"/>
        </w:rPr>
        <w:t>8</w:t>
      </w:r>
      <w:r w:rsidRPr="00843BC6">
        <w:rPr>
          <w:rFonts w:ascii="Times New Roman" w:hAnsi="Times New Roman" w:cs="Times New Roman"/>
          <w:sz w:val="24"/>
          <w:szCs w:val="24"/>
          <w:lang w:val="uz-Latn-UZ"/>
        </w:rPr>
        <w:t xml:space="preserve"> from other regions.</w:t>
      </w:r>
    </w:p>
    <w:p w14:paraId="0F6780EC" w14:textId="723250A5" w:rsidR="00843BC6" w:rsidRPr="00843BC6" w:rsidRDefault="00843BC6" w:rsidP="00843BC6">
      <w:p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 xml:space="preserve">By </w:t>
      </w:r>
      <w:r>
        <w:rPr>
          <w:rFonts w:ascii="Times New Roman" w:hAnsi="Times New Roman" w:cs="Times New Roman"/>
          <w:sz w:val="24"/>
          <w:szCs w:val="24"/>
          <w:lang w:val="uz-Latn-UZ"/>
        </w:rPr>
        <w:t>s</w:t>
      </w:r>
      <w:r w:rsidRPr="00843BC6">
        <w:rPr>
          <w:rFonts w:ascii="Times New Roman" w:hAnsi="Times New Roman" w:cs="Times New Roman"/>
          <w:sz w:val="24"/>
          <w:szCs w:val="24"/>
          <w:lang w:val="uz-Latn-UZ"/>
        </w:rPr>
        <w:t xml:space="preserve">ource: </w:t>
      </w:r>
    </w:p>
    <w:p w14:paraId="10C9982F" w14:textId="29C53EAD" w:rsidR="00843BC6" w:rsidRPr="00843BC6" w:rsidRDefault="00843BC6" w:rsidP="00843BC6">
      <w:pPr>
        <w:pStyle w:val="ListParagraph"/>
        <w:numPr>
          <w:ilvl w:val="0"/>
          <w:numId w:val="10"/>
        </w:num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 xml:space="preserve">Central Bank: </w:t>
      </w:r>
      <w:r w:rsidR="00146AC5">
        <w:rPr>
          <w:rFonts w:ascii="Times New Roman" w:hAnsi="Times New Roman" w:cs="Times New Roman"/>
          <w:sz w:val="24"/>
          <w:szCs w:val="24"/>
          <w:lang w:val="uz-Latn-UZ"/>
        </w:rPr>
        <w:t>44</w:t>
      </w:r>
      <w:r w:rsidR="00AA21FE">
        <w:rPr>
          <w:rFonts w:ascii="Times New Roman" w:hAnsi="Times New Roman" w:cs="Times New Roman"/>
          <w:sz w:val="24"/>
          <w:szCs w:val="24"/>
          <w:lang w:val="uz-Latn-UZ"/>
        </w:rPr>
        <w:t>;</w:t>
      </w:r>
    </w:p>
    <w:p w14:paraId="20DFEA44" w14:textId="6544F91E" w:rsidR="00843BC6" w:rsidRPr="00843BC6" w:rsidRDefault="00843BC6" w:rsidP="00843BC6">
      <w:pPr>
        <w:pStyle w:val="ListParagraph"/>
        <w:numPr>
          <w:ilvl w:val="0"/>
          <w:numId w:val="10"/>
        </w:num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 xml:space="preserve">President’s Virtual Reception: </w:t>
      </w:r>
      <w:r w:rsidR="00146AC5">
        <w:rPr>
          <w:rFonts w:ascii="Times New Roman" w:hAnsi="Times New Roman" w:cs="Times New Roman"/>
          <w:sz w:val="24"/>
          <w:szCs w:val="24"/>
          <w:lang w:val="uz-Latn-UZ"/>
        </w:rPr>
        <w:t>9</w:t>
      </w:r>
      <w:r w:rsidR="00AA21FE">
        <w:rPr>
          <w:rFonts w:ascii="Times New Roman" w:hAnsi="Times New Roman" w:cs="Times New Roman"/>
          <w:sz w:val="24"/>
          <w:szCs w:val="24"/>
          <w:lang w:val="uz-Latn-UZ"/>
        </w:rPr>
        <w:t>;</w:t>
      </w:r>
    </w:p>
    <w:p w14:paraId="492AE61B" w14:textId="3CAA58FE" w:rsidR="00843BC6" w:rsidRPr="00843BC6" w:rsidRDefault="00843BC6" w:rsidP="00843BC6">
      <w:pPr>
        <w:pStyle w:val="ListParagraph"/>
        <w:numPr>
          <w:ilvl w:val="0"/>
          <w:numId w:val="10"/>
        </w:num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Directly to the Bank: 3</w:t>
      </w:r>
      <w:r w:rsidR="00AA21FE">
        <w:rPr>
          <w:rFonts w:ascii="Times New Roman" w:hAnsi="Times New Roman" w:cs="Times New Roman"/>
          <w:sz w:val="24"/>
          <w:szCs w:val="24"/>
          <w:lang w:val="uz-Latn-UZ"/>
        </w:rPr>
        <w:t>;</w:t>
      </w:r>
    </w:p>
    <w:p w14:paraId="0DCA6484" w14:textId="16E0F146" w:rsidR="00843BC6" w:rsidRPr="00843BC6" w:rsidRDefault="00843BC6" w:rsidP="00843BC6">
      <w:pPr>
        <w:pStyle w:val="ListParagraph"/>
        <w:numPr>
          <w:ilvl w:val="0"/>
          <w:numId w:val="10"/>
        </w:num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Others: 16</w:t>
      </w:r>
      <w:r w:rsidR="00AA21FE">
        <w:rPr>
          <w:rFonts w:ascii="Times New Roman" w:hAnsi="Times New Roman" w:cs="Times New Roman"/>
          <w:sz w:val="24"/>
          <w:szCs w:val="24"/>
          <w:lang w:val="uz-Latn-UZ"/>
        </w:rPr>
        <w:t>.</w:t>
      </w:r>
    </w:p>
    <w:p w14:paraId="60AE9E5F" w14:textId="5C60C4ED" w:rsidR="00843BC6" w:rsidRPr="00843BC6" w:rsidRDefault="00843BC6" w:rsidP="00793483">
      <w:p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By category: 6</w:t>
      </w:r>
      <w:r w:rsidR="0028767E">
        <w:rPr>
          <w:rFonts w:ascii="Times New Roman" w:hAnsi="Times New Roman" w:cs="Times New Roman"/>
          <w:sz w:val="24"/>
          <w:szCs w:val="24"/>
          <w:lang w:val="uz-Latn-UZ"/>
        </w:rPr>
        <w:t>1</w:t>
      </w:r>
      <w:r w:rsidRPr="00843BC6">
        <w:rPr>
          <w:rFonts w:ascii="Times New Roman" w:hAnsi="Times New Roman" w:cs="Times New Roman"/>
          <w:sz w:val="24"/>
          <w:szCs w:val="24"/>
          <w:lang w:val="uz-Latn-UZ"/>
        </w:rPr>
        <w:t xml:space="preserve"> were classified as applications</w:t>
      </w:r>
      <w:r w:rsidR="0028767E">
        <w:rPr>
          <w:rFonts w:ascii="Times New Roman" w:hAnsi="Times New Roman" w:cs="Times New Roman"/>
          <w:sz w:val="24"/>
          <w:szCs w:val="24"/>
          <w:lang w:val="uz-Latn-UZ"/>
        </w:rPr>
        <w:t>, 1 was clssified as proposal</w:t>
      </w:r>
      <w:r w:rsidRPr="00843BC6">
        <w:rPr>
          <w:rFonts w:ascii="Times New Roman" w:hAnsi="Times New Roman" w:cs="Times New Roman"/>
          <w:sz w:val="24"/>
          <w:szCs w:val="24"/>
          <w:lang w:val="uz-Latn-UZ"/>
        </w:rPr>
        <w:t xml:space="preserve"> and 10 as complaints.</w:t>
      </w:r>
    </w:p>
    <w:tbl>
      <w:tblPr>
        <w:tblStyle w:val="TableGrid"/>
        <w:tblW w:w="5000" w:type="pct"/>
        <w:tblLook w:val="04A0" w:firstRow="1" w:lastRow="0" w:firstColumn="1" w:lastColumn="0" w:noHBand="0" w:noVBand="1"/>
      </w:tblPr>
      <w:tblGrid>
        <w:gridCol w:w="537"/>
        <w:gridCol w:w="7541"/>
        <w:gridCol w:w="1550"/>
      </w:tblGrid>
      <w:tr w:rsidR="008D6279" w:rsidRPr="00882B6F" w14:paraId="265F9EAC" w14:textId="77777777" w:rsidTr="00856AB3">
        <w:trPr>
          <w:trHeight w:val="397"/>
        </w:trPr>
        <w:tc>
          <w:tcPr>
            <w:tcW w:w="279" w:type="pct"/>
            <w:shd w:val="clear" w:color="auto" w:fill="D9E2F3" w:themeFill="accent1" w:themeFillTint="33"/>
            <w:vAlign w:val="center"/>
          </w:tcPr>
          <w:p w14:paraId="03D9D85D" w14:textId="71576FCE" w:rsidR="008D6279" w:rsidRPr="00843BC6" w:rsidRDefault="00843BC6" w:rsidP="006F2BA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w:t>
            </w:r>
          </w:p>
        </w:tc>
        <w:tc>
          <w:tcPr>
            <w:tcW w:w="3916" w:type="pct"/>
            <w:shd w:val="clear" w:color="auto" w:fill="D9E2F3" w:themeFill="accent1" w:themeFillTint="33"/>
            <w:vAlign w:val="center"/>
          </w:tcPr>
          <w:p w14:paraId="574E1E8F" w14:textId="57446BBA" w:rsidR="008D6279" w:rsidRPr="00882B6F" w:rsidRDefault="00843BC6" w:rsidP="006F2BAF">
            <w:pPr>
              <w:jc w:val="center"/>
              <w:rPr>
                <w:rFonts w:ascii="Times New Roman" w:hAnsi="Times New Roman" w:cs="Times New Roman"/>
                <w:b/>
                <w:bCs/>
                <w:sz w:val="24"/>
                <w:szCs w:val="24"/>
                <w:lang w:val="en-GB"/>
              </w:rPr>
            </w:pPr>
            <w:r w:rsidRPr="00843BC6">
              <w:rPr>
                <w:rFonts w:ascii="Times New Roman" w:hAnsi="Times New Roman" w:cs="Times New Roman"/>
                <w:b/>
                <w:bCs/>
                <w:sz w:val="24"/>
                <w:szCs w:val="24"/>
                <w:lang w:val="uz-Latn-UZ"/>
              </w:rPr>
              <w:t xml:space="preserve">Subject of </w:t>
            </w:r>
            <w:r>
              <w:rPr>
                <w:rFonts w:ascii="Times New Roman" w:hAnsi="Times New Roman" w:cs="Times New Roman"/>
                <w:b/>
                <w:bCs/>
                <w:sz w:val="24"/>
                <w:szCs w:val="24"/>
                <w:lang w:val="uz-Latn-UZ"/>
              </w:rPr>
              <w:t>a</w:t>
            </w:r>
            <w:r w:rsidRPr="00843BC6">
              <w:rPr>
                <w:rFonts w:ascii="Times New Roman" w:hAnsi="Times New Roman" w:cs="Times New Roman"/>
                <w:b/>
                <w:bCs/>
                <w:sz w:val="24"/>
                <w:szCs w:val="24"/>
                <w:lang w:val="uz-Latn-UZ"/>
              </w:rPr>
              <w:t>ppeal</w:t>
            </w:r>
          </w:p>
        </w:tc>
        <w:tc>
          <w:tcPr>
            <w:tcW w:w="805" w:type="pct"/>
            <w:shd w:val="clear" w:color="auto" w:fill="D9E2F3" w:themeFill="accent1" w:themeFillTint="33"/>
            <w:vAlign w:val="center"/>
          </w:tcPr>
          <w:p w14:paraId="6AF72552" w14:textId="35079315" w:rsidR="008D6279" w:rsidRPr="00882B6F" w:rsidRDefault="00843BC6" w:rsidP="006F2BAF">
            <w:pPr>
              <w:jc w:val="center"/>
              <w:rPr>
                <w:rFonts w:ascii="Times New Roman" w:hAnsi="Times New Roman" w:cs="Times New Roman"/>
                <w:b/>
                <w:bCs/>
                <w:sz w:val="24"/>
                <w:szCs w:val="24"/>
                <w:lang w:val="uz-Latn-UZ"/>
              </w:rPr>
            </w:pPr>
            <w:r>
              <w:rPr>
                <w:rFonts w:ascii="Times New Roman" w:hAnsi="Times New Roman" w:cs="Times New Roman"/>
                <w:b/>
                <w:bCs/>
                <w:sz w:val="24"/>
                <w:szCs w:val="24"/>
                <w:lang w:val="uz-Latn-UZ"/>
              </w:rPr>
              <w:t>Quantity</w:t>
            </w:r>
          </w:p>
        </w:tc>
      </w:tr>
      <w:tr w:rsidR="00C701C4" w:rsidRPr="00882B6F" w14:paraId="0935AA76" w14:textId="77777777" w:rsidTr="008C6688">
        <w:trPr>
          <w:trHeight w:val="397"/>
        </w:trPr>
        <w:tc>
          <w:tcPr>
            <w:tcW w:w="279" w:type="pct"/>
            <w:vAlign w:val="bottom"/>
          </w:tcPr>
          <w:p w14:paraId="47917725" w14:textId="42C10821" w:rsidR="00C701C4" w:rsidRPr="00882B6F" w:rsidRDefault="00C701C4" w:rsidP="00C701C4">
            <w:pPr>
              <w:jc w:val="center"/>
              <w:rPr>
                <w:rFonts w:ascii="Times New Roman" w:hAnsi="Times New Roman" w:cs="Times New Roman"/>
                <w:sz w:val="24"/>
                <w:szCs w:val="24"/>
                <w:lang w:val="en-US"/>
              </w:rPr>
            </w:pPr>
            <w:r w:rsidRPr="00882B6F">
              <w:rPr>
                <w:rFonts w:ascii="Times New Roman" w:hAnsi="Times New Roman" w:cs="Times New Roman"/>
                <w:color w:val="000000"/>
              </w:rPr>
              <w:t>1</w:t>
            </w:r>
          </w:p>
        </w:tc>
        <w:tc>
          <w:tcPr>
            <w:tcW w:w="3916" w:type="pct"/>
            <w:vAlign w:val="bottom"/>
          </w:tcPr>
          <w:p w14:paraId="3294ABE5" w14:textId="2025E441" w:rsidR="00C701C4" w:rsidRPr="00882B6F" w:rsidRDefault="00843BC6" w:rsidP="00C701C4">
            <w:pPr>
              <w:jc w:val="both"/>
              <w:rPr>
                <w:rFonts w:ascii="Times New Roman" w:hAnsi="Times New Roman" w:cs="Times New Roman"/>
                <w:color w:val="000000" w:themeColor="text1"/>
                <w:sz w:val="24"/>
                <w:szCs w:val="24"/>
                <w:lang w:val="en-US"/>
              </w:rPr>
            </w:pPr>
            <w:r w:rsidRPr="00843BC6">
              <w:rPr>
                <w:rFonts w:ascii="Times New Roman" w:hAnsi="Times New Roman" w:cs="Times New Roman"/>
                <w:color w:val="000000"/>
                <w:lang w:val="en-GB"/>
              </w:rPr>
              <w:t>Bank loans and credit operations</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0C9347C9" w14:textId="7B9562A8" w:rsidR="00C701C4" w:rsidRPr="00882B6F" w:rsidRDefault="00C701C4" w:rsidP="00C701C4">
            <w:pPr>
              <w:jc w:val="center"/>
              <w:rPr>
                <w:rFonts w:ascii="Times New Roman" w:hAnsi="Times New Roman" w:cs="Times New Roman"/>
                <w:color w:val="000000" w:themeColor="text1"/>
                <w:sz w:val="24"/>
                <w:szCs w:val="24"/>
                <w:lang w:val="en-US"/>
              </w:rPr>
            </w:pPr>
            <w:r w:rsidRPr="00882B6F">
              <w:rPr>
                <w:rFonts w:ascii="Times New Roman" w:hAnsi="Times New Roman" w:cs="Times New Roman"/>
                <w:color w:val="000000"/>
              </w:rPr>
              <w:t>18</w:t>
            </w:r>
          </w:p>
        </w:tc>
      </w:tr>
      <w:tr w:rsidR="00C701C4" w:rsidRPr="00882B6F" w14:paraId="3C63D641" w14:textId="77777777" w:rsidTr="008C6688">
        <w:trPr>
          <w:trHeight w:val="397"/>
        </w:trPr>
        <w:tc>
          <w:tcPr>
            <w:tcW w:w="279" w:type="pct"/>
            <w:vAlign w:val="bottom"/>
          </w:tcPr>
          <w:p w14:paraId="26055392" w14:textId="2CF6B57B" w:rsidR="00C701C4" w:rsidRPr="00882B6F" w:rsidRDefault="00C701C4" w:rsidP="00C701C4">
            <w:pPr>
              <w:jc w:val="center"/>
              <w:rPr>
                <w:rFonts w:ascii="Times New Roman" w:hAnsi="Times New Roman" w:cs="Times New Roman"/>
                <w:sz w:val="24"/>
                <w:szCs w:val="24"/>
                <w:lang w:val="en-US"/>
              </w:rPr>
            </w:pPr>
            <w:r w:rsidRPr="00882B6F">
              <w:rPr>
                <w:rFonts w:ascii="Times New Roman" w:hAnsi="Times New Roman" w:cs="Times New Roman"/>
                <w:color w:val="000000"/>
              </w:rPr>
              <w:t>2</w:t>
            </w:r>
          </w:p>
        </w:tc>
        <w:tc>
          <w:tcPr>
            <w:tcW w:w="3916" w:type="pct"/>
            <w:vAlign w:val="bottom"/>
          </w:tcPr>
          <w:p w14:paraId="3563C33C" w14:textId="527E4353" w:rsidR="00C701C4" w:rsidRPr="00882B6F" w:rsidRDefault="00843BC6" w:rsidP="00C701C4">
            <w:pPr>
              <w:jc w:val="both"/>
              <w:rPr>
                <w:rFonts w:ascii="Times New Roman" w:hAnsi="Times New Roman" w:cs="Times New Roman"/>
                <w:color w:val="000000" w:themeColor="text1"/>
                <w:sz w:val="24"/>
                <w:szCs w:val="24"/>
                <w:lang w:val="en-US"/>
              </w:rPr>
            </w:pPr>
            <w:r w:rsidRPr="00843BC6">
              <w:rPr>
                <w:rFonts w:ascii="Times New Roman" w:hAnsi="Times New Roman" w:cs="Times New Roman"/>
                <w:color w:val="000000"/>
                <w:lang w:val="en-GB"/>
              </w:rPr>
              <w:t>Bank savings and other deposit operations</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4F459B4E" w14:textId="12B79711" w:rsidR="00C701C4" w:rsidRPr="00882B6F" w:rsidRDefault="00C701C4" w:rsidP="00C701C4">
            <w:pPr>
              <w:jc w:val="center"/>
              <w:rPr>
                <w:rFonts w:ascii="Times New Roman" w:hAnsi="Times New Roman" w:cs="Times New Roman"/>
                <w:color w:val="000000" w:themeColor="text1"/>
                <w:sz w:val="24"/>
                <w:szCs w:val="24"/>
                <w:lang w:val="en-US"/>
              </w:rPr>
            </w:pPr>
            <w:r w:rsidRPr="00882B6F">
              <w:rPr>
                <w:rFonts w:ascii="Times New Roman" w:hAnsi="Times New Roman" w:cs="Times New Roman"/>
                <w:color w:val="000000"/>
              </w:rPr>
              <w:t>12</w:t>
            </w:r>
          </w:p>
        </w:tc>
      </w:tr>
      <w:tr w:rsidR="00C701C4" w:rsidRPr="00882B6F" w14:paraId="54F65CA1" w14:textId="77777777" w:rsidTr="008C6688">
        <w:trPr>
          <w:trHeight w:val="397"/>
        </w:trPr>
        <w:tc>
          <w:tcPr>
            <w:tcW w:w="279" w:type="pct"/>
            <w:vAlign w:val="bottom"/>
          </w:tcPr>
          <w:p w14:paraId="2B637B4B" w14:textId="282B260B" w:rsidR="00C701C4" w:rsidRPr="00882B6F" w:rsidRDefault="00C701C4" w:rsidP="00C701C4">
            <w:pPr>
              <w:jc w:val="center"/>
              <w:rPr>
                <w:rFonts w:ascii="Times New Roman" w:hAnsi="Times New Roman" w:cs="Times New Roman"/>
                <w:sz w:val="24"/>
                <w:szCs w:val="24"/>
                <w:lang w:val="en-US"/>
              </w:rPr>
            </w:pPr>
            <w:r w:rsidRPr="00882B6F">
              <w:rPr>
                <w:rFonts w:ascii="Times New Roman" w:hAnsi="Times New Roman" w:cs="Times New Roman"/>
                <w:color w:val="000000"/>
              </w:rPr>
              <w:t>3</w:t>
            </w:r>
          </w:p>
        </w:tc>
        <w:tc>
          <w:tcPr>
            <w:tcW w:w="3916" w:type="pct"/>
            <w:vAlign w:val="bottom"/>
          </w:tcPr>
          <w:p w14:paraId="227DC304" w14:textId="73A9AFEA" w:rsidR="00C701C4" w:rsidRPr="00843BC6" w:rsidRDefault="00843BC6" w:rsidP="00C701C4">
            <w:pPr>
              <w:jc w:val="both"/>
              <w:rPr>
                <w:rFonts w:ascii="Times New Roman" w:hAnsi="Times New Roman" w:cs="Times New Roman"/>
                <w:color w:val="000000" w:themeColor="text1"/>
                <w:sz w:val="24"/>
                <w:szCs w:val="24"/>
                <w:lang w:val="en-GB"/>
              </w:rPr>
            </w:pPr>
            <w:r w:rsidRPr="00843BC6">
              <w:rPr>
                <w:rFonts w:ascii="Times New Roman" w:hAnsi="Times New Roman" w:cs="Times New Roman"/>
                <w:color w:val="000000"/>
                <w:lang w:val="en-GB"/>
              </w:rPr>
              <w:t>Proposals regarding the banking system</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4DAF30F7" w14:textId="51C1A460" w:rsidR="00C701C4" w:rsidRPr="00882B6F" w:rsidRDefault="00C701C4" w:rsidP="00C701C4">
            <w:pPr>
              <w:jc w:val="center"/>
              <w:rPr>
                <w:rFonts w:ascii="Times New Roman" w:hAnsi="Times New Roman" w:cs="Times New Roman"/>
                <w:color w:val="000000" w:themeColor="text1"/>
                <w:sz w:val="24"/>
                <w:szCs w:val="24"/>
                <w:lang w:val="en-US"/>
              </w:rPr>
            </w:pPr>
            <w:r w:rsidRPr="00882B6F">
              <w:rPr>
                <w:rFonts w:ascii="Times New Roman" w:hAnsi="Times New Roman" w:cs="Times New Roman"/>
                <w:color w:val="000000"/>
              </w:rPr>
              <w:t>1</w:t>
            </w:r>
          </w:p>
        </w:tc>
      </w:tr>
      <w:tr w:rsidR="00C701C4" w:rsidRPr="00882B6F" w14:paraId="425FE900" w14:textId="77777777" w:rsidTr="008C6688">
        <w:trPr>
          <w:trHeight w:val="397"/>
        </w:trPr>
        <w:tc>
          <w:tcPr>
            <w:tcW w:w="279" w:type="pct"/>
            <w:vAlign w:val="bottom"/>
          </w:tcPr>
          <w:p w14:paraId="6ACC12E7" w14:textId="0CCBD7B0" w:rsidR="00C701C4" w:rsidRPr="00882B6F" w:rsidRDefault="00C701C4" w:rsidP="00C701C4">
            <w:pPr>
              <w:jc w:val="center"/>
              <w:rPr>
                <w:rFonts w:ascii="Times New Roman" w:hAnsi="Times New Roman" w:cs="Times New Roman"/>
                <w:sz w:val="24"/>
                <w:szCs w:val="24"/>
                <w:lang w:val="en-US"/>
              </w:rPr>
            </w:pPr>
            <w:r w:rsidRPr="00882B6F">
              <w:rPr>
                <w:rFonts w:ascii="Times New Roman" w:hAnsi="Times New Roman" w:cs="Times New Roman"/>
                <w:color w:val="000000"/>
              </w:rPr>
              <w:t>4</w:t>
            </w:r>
          </w:p>
        </w:tc>
        <w:tc>
          <w:tcPr>
            <w:tcW w:w="3916" w:type="pct"/>
            <w:vAlign w:val="bottom"/>
          </w:tcPr>
          <w:p w14:paraId="31FE208E" w14:textId="02A0DBC5" w:rsidR="00C701C4" w:rsidRPr="00882B6F" w:rsidRDefault="00843BC6" w:rsidP="00C701C4">
            <w:pPr>
              <w:jc w:val="both"/>
              <w:rPr>
                <w:rFonts w:ascii="Times New Roman" w:hAnsi="Times New Roman" w:cs="Times New Roman"/>
                <w:color w:val="000000" w:themeColor="text1"/>
                <w:sz w:val="24"/>
                <w:szCs w:val="24"/>
                <w:lang w:val="en-US"/>
              </w:rPr>
            </w:pPr>
            <w:r>
              <w:rPr>
                <w:rFonts w:ascii="Times New Roman" w:hAnsi="Times New Roman" w:cs="Times New Roman"/>
                <w:color w:val="000000"/>
                <w:lang w:val="en-GB"/>
              </w:rPr>
              <w:t>Code of conduct</w:t>
            </w:r>
            <w:r w:rsidRPr="00843BC6">
              <w:rPr>
                <w:rFonts w:ascii="Times New Roman" w:hAnsi="Times New Roman" w:cs="Times New Roman"/>
                <w:color w:val="000000"/>
                <w:lang w:val="en-GB"/>
              </w:rPr>
              <w:t xml:space="preserve"> of bank employees</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7D33AC24" w14:textId="360FFF64" w:rsidR="00C701C4" w:rsidRPr="00882B6F" w:rsidRDefault="00C701C4" w:rsidP="00C701C4">
            <w:pPr>
              <w:jc w:val="center"/>
              <w:rPr>
                <w:rFonts w:ascii="Times New Roman" w:hAnsi="Times New Roman" w:cs="Times New Roman"/>
                <w:color w:val="000000" w:themeColor="text1"/>
                <w:sz w:val="24"/>
                <w:szCs w:val="24"/>
                <w:lang w:val="en-US"/>
              </w:rPr>
            </w:pPr>
            <w:r w:rsidRPr="00882B6F">
              <w:rPr>
                <w:rFonts w:ascii="Times New Roman" w:hAnsi="Times New Roman" w:cs="Times New Roman"/>
                <w:color w:val="000000"/>
              </w:rPr>
              <w:t>1</w:t>
            </w:r>
          </w:p>
        </w:tc>
      </w:tr>
      <w:tr w:rsidR="00C701C4" w:rsidRPr="00882B6F" w14:paraId="221BFE68" w14:textId="77777777" w:rsidTr="008C6688">
        <w:trPr>
          <w:trHeight w:val="397"/>
        </w:trPr>
        <w:tc>
          <w:tcPr>
            <w:tcW w:w="279" w:type="pct"/>
            <w:vAlign w:val="bottom"/>
          </w:tcPr>
          <w:p w14:paraId="3757C0FC" w14:textId="1EC56A09" w:rsidR="00C701C4" w:rsidRPr="00882B6F" w:rsidRDefault="00C701C4" w:rsidP="00C701C4">
            <w:pPr>
              <w:jc w:val="center"/>
              <w:rPr>
                <w:rFonts w:ascii="Times New Roman" w:hAnsi="Times New Roman" w:cs="Times New Roman"/>
                <w:sz w:val="24"/>
                <w:szCs w:val="24"/>
              </w:rPr>
            </w:pPr>
            <w:r w:rsidRPr="00882B6F">
              <w:rPr>
                <w:rFonts w:ascii="Times New Roman" w:hAnsi="Times New Roman" w:cs="Times New Roman"/>
                <w:color w:val="000000"/>
              </w:rPr>
              <w:t>5</w:t>
            </w:r>
          </w:p>
        </w:tc>
        <w:tc>
          <w:tcPr>
            <w:tcW w:w="3916" w:type="pct"/>
            <w:vAlign w:val="bottom"/>
          </w:tcPr>
          <w:p w14:paraId="3C935A0D" w14:textId="55D4396D" w:rsidR="00C701C4" w:rsidRPr="00882B6F" w:rsidRDefault="00843BC6" w:rsidP="00C701C4">
            <w:pPr>
              <w:jc w:val="both"/>
              <w:rPr>
                <w:rFonts w:ascii="Times New Roman" w:hAnsi="Times New Roman" w:cs="Times New Roman"/>
                <w:color w:val="000000" w:themeColor="text1"/>
                <w:sz w:val="24"/>
                <w:szCs w:val="24"/>
                <w:lang w:val="en-GB"/>
              </w:rPr>
            </w:pPr>
            <w:r w:rsidRPr="00843BC6">
              <w:rPr>
                <w:rFonts w:ascii="Times New Roman" w:hAnsi="Times New Roman" w:cs="Times New Roman"/>
                <w:color w:val="000000"/>
                <w:lang w:val="en-GB"/>
              </w:rPr>
              <w:t>Procedures for opening and maintaining bank accounts</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7BF2866D" w14:textId="43E44792" w:rsidR="00C701C4" w:rsidRPr="00882B6F" w:rsidRDefault="00100D8C" w:rsidP="00C701C4">
            <w:pPr>
              <w:jc w:val="center"/>
              <w:rPr>
                <w:rFonts w:ascii="Times New Roman" w:hAnsi="Times New Roman" w:cs="Times New Roman"/>
                <w:color w:val="000000" w:themeColor="text1"/>
                <w:sz w:val="24"/>
                <w:szCs w:val="24"/>
                <w:lang w:val="en-GB"/>
              </w:rPr>
            </w:pPr>
            <w:r w:rsidRPr="00882B6F">
              <w:rPr>
                <w:rFonts w:ascii="Times New Roman" w:hAnsi="Times New Roman" w:cs="Times New Roman"/>
                <w:color w:val="000000"/>
                <w:lang w:val="en-GB"/>
              </w:rPr>
              <w:t>4</w:t>
            </w:r>
          </w:p>
        </w:tc>
      </w:tr>
      <w:tr w:rsidR="00C701C4" w:rsidRPr="00882B6F" w14:paraId="730EF635" w14:textId="77777777" w:rsidTr="008C6688">
        <w:trPr>
          <w:trHeight w:val="397"/>
        </w:trPr>
        <w:tc>
          <w:tcPr>
            <w:tcW w:w="279" w:type="pct"/>
            <w:vAlign w:val="bottom"/>
          </w:tcPr>
          <w:p w14:paraId="0449F1A9" w14:textId="0BA292DA" w:rsidR="00C701C4" w:rsidRPr="00882B6F" w:rsidRDefault="004A16B7" w:rsidP="00C701C4">
            <w:pPr>
              <w:jc w:val="center"/>
              <w:rPr>
                <w:rFonts w:ascii="Times New Roman" w:hAnsi="Times New Roman" w:cs="Times New Roman"/>
                <w:sz w:val="24"/>
                <w:szCs w:val="24"/>
                <w:lang w:val="en-GB"/>
              </w:rPr>
            </w:pPr>
            <w:r w:rsidRPr="00882B6F">
              <w:rPr>
                <w:rFonts w:ascii="Times New Roman" w:hAnsi="Times New Roman" w:cs="Times New Roman"/>
                <w:color w:val="000000"/>
                <w:lang w:val="en-GB"/>
              </w:rPr>
              <w:t>6</w:t>
            </w:r>
          </w:p>
        </w:tc>
        <w:tc>
          <w:tcPr>
            <w:tcW w:w="3916" w:type="pct"/>
            <w:vAlign w:val="bottom"/>
          </w:tcPr>
          <w:p w14:paraId="23C88B7B" w14:textId="3A4375E9" w:rsidR="00C701C4" w:rsidRPr="00882B6F" w:rsidRDefault="00843BC6" w:rsidP="00C701C4">
            <w:pPr>
              <w:jc w:val="both"/>
              <w:rPr>
                <w:rFonts w:ascii="Times New Roman" w:hAnsi="Times New Roman" w:cs="Times New Roman"/>
                <w:b/>
                <w:bCs/>
                <w:color w:val="000000" w:themeColor="text1"/>
                <w:sz w:val="24"/>
                <w:szCs w:val="24"/>
                <w:lang w:val="en-GB"/>
              </w:rPr>
            </w:pPr>
            <w:r w:rsidRPr="00843BC6">
              <w:rPr>
                <w:rFonts w:ascii="Times New Roman" w:hAnsi="Times New Roman" w:cs="Times New Roman"/>
                <w:color w:val="000000"/>
                <w:lang w:val="en-GB"/>
              </w:rPr>
              <w:t>Currency regulation and currency control</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5F9BB22B" w14:textId="6D579919" w:rsidR="00C701C4" w:rsidRPr="00882B6F" w:rsidRDefault="00C701C4" w:rsidP="00C701C4">
            <w:pPr>
              <w:jc w:val="center"/>
              <w:rPr>
                <w:rFonts w:ascii="Times New Roman" w:hAnsi="Times New Roman" w:cs="Times New Roman"/>
                <w:b/>
                <w:bCs/>
                <w:color w:val="000000" w:themeColor="text1"/>
                <w:sz w:val="24"/>
                <w:szCs w:val="24"/>
                <w:lang w:val="en-US"/>
              </w:rPr>
            </w:pPr>
            <w:r w:rsidRPr="00882B6F">
              <w:rPr>
                <w:rFonts w:ascii="Times New Roman" w:hAnsi="Times New Roman" w:cs="Times New Roman"/>
                <w:color w:val="000000"/>
              </w:rPr>
              <w:t>2</w:t>
            </w:r>
          </w:p>
        </w:tc>
      </w:tr>
      <w:tr w:rsidR="00C701C4" w:rsidRPr="00882B6F" w14:paraId="2752D919" w14:textId="77777777" w:rsidTr="008C6688">
        <w:trPr>
          <w:trHeight w:val="397"/>
        </w:trPr>
        <w:tc>
          <w:tcPr>
            <w:tcW w:w="279" w:type="pct"/>
            <w:vAlign w:val="bottom"/>
          </w:tcPr>
          <w:p w14:paraId="2129EBFE" w14:textId="50151CD9" w:rsidR="00C701C4" w:rsidRPr="00882B6F" w:rsidRDefault="004A16B7" w:rsidP="00C701C4">
            <w:pPr>
              <w:jc w:val="center"/>
              <w:rPr>
                <w:rFonts w:ascii="Times New Roman" w:hAnsi="Times New Roman" w:cs="Times New Roman"/>
                <w:sz w:val="24"/>
                <w:szCs w:val="24"/>
                <w:lang w:val="en-GB"/>
              </w:rPr>
            </w:pPr>
            <w:r w:rsidRPr="00882B6F">
              <w:rPr>
                <w:rFonts w:ascii="Times New Roman" w:hAnsi="Times New Roman" w:cs="Times New Roman"/>
                <w:color w:val="000000"/>
                <w:lang w:val="en-GB"/>
              </w:rPr>
              <w:t>7</w:t>
            </w:r>
          </w:p>
        </w:tc>
        <w:tc>
          <w:tcPr>
            <w:tcW w:w="3916" w:type="pct"/>
            <w:vAlign w:val="bottom"/>
          </w:tcPr>
          <w:p w14:paraId="604F2898" w14:textId="1B4B1201" w:rsidR="00C701C4" w:rsidRPr="00882B6F" w:rsidRDefault="005B6B37" w:rsidP="00C701C4">
            <w:pPr>
              <w:jc w:val="both"/>
              <w:rPr>
                <w:rFonts w:ascii="Times New Roman" w:hAnsi="Times New Roman" w:cs="Times New Roman"/>
                <w:b/>
                <w:bCs/>
                <w:color w:val="000000" w:themeColor="text1"/>
                <w:sz w:val="24"/>
                <w:szCs w:val="24"/>
                <w:lang w:val="en-US"/>
              </w:rPr>
            </w:pPr>
            <w:r>
              <w:rPr>
                <w:rFonts w:ascii="Times New Roman" w:hAnsi="Times New Roman" w:cs="Times New Roman"/>
                <w:color w:val="000000"/>
                <w:lang w:val="en-GB"/>
              </w:rPr>
              <w:t>Bank</w:t>
            </w:r>
            <w:r w:rsidR="00843BC6" w:rsidRPr="00843BC6">
              <w:rPr>
                <w:rFonts w:ascii="Times New Roman" w:hAnsi="Times New Roman" w:cs="Times New Roman"/>
                <w:color w:val="000000"/>
                <w:lang w:val="en-GB"/>
              </w:rPr>
              <w:t xml:space="preserve"> cards and terminals</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57D52755" w14:textId="432697FA" w:rsidR="00C701C4" w:rsidRPr="00882B6F" w:rsidRDefault="00C701C4" w:rsidP="00C701C4">
            <w:pPr>
              <w:jc w:val="center"/>
              <w:rPr>
                <w:rFonts w:ascii="Times New Roman" w:hAnsi="Times New Roman" w:cs="Times New Roman"/>
                <w:b/>
                <w:bCs/>
                <w:color w:val="000000" w:themeColor="text1"/>
                <w:sz w:val="24"/>
                <w:szCs w:val="24"/>
                <w:lang w:val="en-US"/>
              </w:rPr>
            </w:pPr>
            <w:r w:rsidRPr="00882B6F">
              <w:rPr>
                <w:rFonts w:ascii="Times New Roman" w:hAnsi="Times New Roman" w:cs="Times New Roman"/>
                <w:color w:val="000000"/>
              </w:rPr>
              <w:t>24</w:t>
            </w:r>
          </w:p>
        </w:tc>
      </w:tr>
      <w:tr w:rsidR="00C701C4" w:rsidRPr="00882B6F" w14:paraId="6CA2593F" w14:textId="77777777" w:rsidTr="008C6688">
        <w:trPr>
          <w:trHeight w:val="397"/>
        </w:trPr>
        <w:tc>
          <w:tcPr>
            <w:tcW w:w="279" w:type="pct"/>
            <w:vAlign w:val="bottom"/>
          </w:tcPr>
          <w:p w14:paraId="6DDBF90A" w14:textId="14A60E30" w:rsidR="00C701C4" w:rsidRPr="00882B6F" w:rsidRDefault="004A16B7" w:rsidP="00C701C4">
            <w:pPr>
              <w:jc w:val="center"/>
              <w:rPr>
                <w:rFonts w:ascii="Times New Roman" w:hAnsi="Times New Roman" w:cs="Times New Roman"/>
                <w:sz w:val="24"/>
                <w:szCs w:val="24"/>
                <w:lang w:val="en-GB"/>
              </w:rPr>
            </w:pPr>
            <w:r w:rsidRPr="00882B6F">
              <w:rPr>
                <w:rFonts w:ascii="Times New Roman" w:hAnsi="Times New Roman" w:cs="Times New Roman"/>
                <w:color w:val="000000"/>
                <w:lang w:val="en-GB"/>
              </w:rPr>
              <w:t>8</w:t>
            </w:r>
          </w:p>
        </w:tc>
        <w:tc>
          <w:tcPr>
            <w:tcW w:w="3916" w:type="pct"/>
            <w:vAlign w:val="bottom"/>
          </w:tcPr>
          <w:p w14:paraId="2AEDF729" w14:textId="7B7C8F4A" w:rsidR="00C701C4" w:rsidRPr="00882B6F" w:rsidRDefault="00843BC6" w:rsidP="00C701C4">
            <w:pPr>
              <w:jc w:val="both"/>
              <w:rPr>
                <w:rFonts w:ascii="Times New Roman" w:hAnsi="Times New Roman" w:cs="Times New Roman"/>
                <w:b/>
                <w:bCs/>
                <w:color w:val="000000" w:themeColor="text1"/>
                <w:sz w:val="24"/>
                <w:szCs w:val="24"/>
                <w:lang w:val="en-US"/>
              </w:rPr>
            </w:pPr>
            <w:r w:rsidRPr="00843BC6">
              <w:rPr>
                <w:rFonts w:ascii="Times New Roman" w:hAnsi="Times New Roman" w:cs="Times New Roman"/>
                <w:color w:val="000000"/>
                <w:lang w:val="en-GB"/>
              </w:rPr>
              <w:t>Payment systems and non-cash settlements</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062FA38F" w14:textId="18BBE1C7" w:rsidR="00C701C4" w:rsidRPr="00882B6F" w:rsidRDefault="00C701C4" w:rsidP="00C701C4">
            <w:pPr>
              <w:jc w:val="center"/>
              <w:rPr>
                <w:rFonts w:ascii="Times New Roman" w:hAnsi="Times New Roman" w:cs="Times New Roman"/>
                <w:b/>
                <w:bCs/>
                <w:color w:val="000000" w:themeColor="text1"/>
                <w:sz w:val="24"/>
                <w:szCs w:val="24"/>
                <w:lang w:val="en-US"/>
              </w:rPr>
            </w:pPr>
            <w:r w:rsidRPr="00882B6F">
              <w:rPr>
                <w:rFonts w:ascii="Times New Roman" w:hAnsi="Times New Roman" w:cs="Times New Roman"/>
                <w:color w:val="000000"/>
              </w:rPr>
              <w:t>3</w:t>
            </w:r>
          </w:p>
        </w:tc>
      </w:tr>
      <w:tr w:rsidR="004A16B7" w:rsidRPr="00882B6F" w14:paraId="4C9CE05E" w14:textId="77777777" w:rsidTr="0044087E">
        <w:trPr>
          <w:trHeight w:val="397"/>
        </w:trPr>
        <w:tc>
          <w:tcPr>
            <w:tcW w:w="279" w:type="pct"/>
            <w:vAlign w:val="bottom"/>
          </w:tcPr>
          <w:p w14:paraId="567EEA08" w14:textId="28A4D5E7" w:rsidR="004A16B7" w:rsidRPr="00882B6F" w:rsidRDefault="004A16B7" w:rsidP="0044087E">
            <w:pPr>
              <w:jc w:val="center"/>
              <w:rPr>
                <w:rFonts w:ascii="Times New Roman" w:hAnsi="Times New Roman" w:cs="Times New Roman"/>
                <w:sz w:val="24"/>
                <w:szCs w:val="24"/>
                <w:lang w:val="en-GB"/>
              </w:rPr>
            </w:pPr>
            <w:bookmarkStart w:id="0" w:name="_Hlk218782521"/>
            <w:r w:rsidRPr="00882B6F">
              <w:rPr>
                <w:rFonts w:ascii="Times New Roman" w:hAnsi="Times New Roman" w:cs="Times New Roman"/>
                <w:color w:val="000000"/>
                <w:lang w:val="en-GB"/>
              </w:rPr>
              <w:t>9</w:t>
            </w:r>
          </w:p>
        </w:tc>
        <w:tc>
          <w:tcPr>
            <w:tcW w:w="3916" w:type="pct"/>
            <w:vAlign w:val="bottom"/>
          </w:tcPr>
          <w:p w14:paraId="5DE508E6" w14:textId="6FA7F0A7" w:rsidR="004A16B7" w:rsidRPr="00882B6F" w:rsidRDefault="00843BC6" w:rsidP="0044087E">
            <w:pPr>
              <w:jc w:val="both"/>
              <w:rPr>
                <w:rFonts w:ascii="Times New Roman" w:hAnsi="Times New Roman" w:cs="Times New Roman"/>
                <w:color w:val="000000" w:themeColor="text1"/>
                <w:sz w:val="24"/>
                <w:szCs w:val="24"/>
                <w:lang w:val="en-US"/>
              </w:rPr>
            </w:pPr>
            <w:r w:rsidRPr="00843BC6">
              <w:rPr>
                <w:rFonts w:ascii="Times New Roman" w:hAnsi="Times New Roman" w:cs="Times New Roman"/>
                <w:color w:val="000000"/>
              </w:rPr>
              <w:t>Other matters</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bottom"/>
          </w:tcPr>
          <w:p w14:paraId="36935126" w14:textId="2263C7AA" w:rsidR="004A16B7" w:rsidRPr="00146AC5" w:rsidRDefault="00146AC5" w:rsidP="0044087E">
            <w:pPr>
              <w:jc w:val="center"/>
              <w:rPr>
                <w:rFonts w:ascii="Times New Roman" w:hAnsi="Times New Roman" w:cs="Times New Roman"/>
                <w:color w:val="000000" w:themeColor="text1"/>
                <w:sz w:val="24"/>
                <w:szCs w:val="24"/>
                <w:lang w:val="en-GB"/>
              </w:rPr>
            </w:pPr>
            <w:r>
              <w:rPr>
                <w:rFonts w:ascii="Times New Roman" w:hAnsi="Times New Roman" w:cs="Times New Roman"/>
                <w:color w:val="000000"/>
                <w:lang w:val="en-GB"/>
              </w:rPr>
              <w:t>7</w:t>
            </w:r>
          </w:p>
        </w:tc>
      </w:tr>
      <w:bookmarkEnd w:id="0"/>
      <w:tr w:rsidR="00C701C4" w:rsidRPr="00882B6F" w14:paraId="78642C4C" w14:textId="77777777" w:rsidTr="00856AB3">
        <w:trPr>
          <w:trHeight w:val="397"/>
        </w:trPr>
        <w:tc>
          <w:tcPr>
            <w:tcW w:w="279" w:type="pct"/>
            <w:vAlign w:val="center"/>
          </w:tcPr>
          <w:p w14:paraId="55C205A2" w14:textId="77777777" w:rsidR="00C701C4" w:rsidRPr="00882B6F" w:rsidRDefault="00C701C4" w:rsidP="00C701C4">
            <w:pPr>
              <w:jc w:val="both"/>
              <w:rPr>
                <w:rFonts w:ascii="Times New Roman" w:hAnsi="Times New Roman" w:cs="Times New Roman"/>
                <w:sz w:val="24"/>
                <w:szCs w:val="24"/>
                <w:lang w:val="uz-Cyrl-UZ"/>
              </w:rPr>
            </w:pPr>
          </w:p>
        </w:tc>
        <w:tc>
          <w:tcPr>
            <w:tcW w:w="3916" w:type="pct"/>
            <w:vAlign w:val="center"/>
          </w:tcPr>
          <w:p w14:paraId="0F5F0E2B" w14:textId="2A3B0FE6" w:rsidR="00C701C4" w:rsidRPr="00882B6F" w:rsidRDefault="00843BC6" w:rsidP="00C701C4">
            <w:pPr>
              <w:jc w:val="both"/>
              <w:rPr>
                <w:rFonts w:ascii="Times New Roman" w:hAnsi="Times New Roman" w:cs="Times New Roman"/>
                <w:b/>
                <w:bCs/>
                <w:color w:val="000000" w:themeColor="text1"/>
                <w:sz w:val="24"/>
                <w:szCs w:val="24"/>
                <w:lang w:val="en-US"/>
              </w:rPr>
            </w:pPr>
            <w:r w:rsidRPr="00843BC6">
              <w:rPr>
                <w:rFonts w:ascii="Times New Roman" w:hAnsi="Times New Roman" w:cs="Times New Roman"/>
                <w:b/>
                <w:bCs/>
                <w:color w:val="000000" w:themeColor="text1"/>
                <w:sz w:val="24"/>
                <w:szCs w:val="24"/>
                <w:lang w:val="en-US"/>
              </w:rPr>
              <w:t>Total</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center"/>
          </w:tcPr>
          <w:p w14:paraId="4CAF33D4" w14:textId="11431807" w:rsidR="00C701C4" w:rsidRPr="00882B6F" w:rsidRDefault="00C701C4" w:rsidP="00C701C4">
            <w:pPr>
              <w:jc w:val="center"/>
              <w:rPr>
                <w:rFonts w:ascii="Times New Roman" w:hAnsi="Times New Roman" w:cs="Times New Roman"/>
                <w:b/>
                <w:bCs/>
                <w:color w:val="000000" w:themeColor="text1"/>
                <w:sz w:val="24"/>
                <w:szCs w:val="24"/>
                <w:lang w:val="en-US"/>
              </w:rPr>
            </w:pPr>
            <w:r w:rsidRPr="00882B6F">
              <w:rPr>
                <w:rFonts w:ascii="Times New Roman" w:hAnsi="Times New Roman" w:cs="Times New Roman"/>
                <w:b/>
                <w:bCs/>
                <w:color w:val="000000" w:themeColor="text1"/>
                <w:sz w:val="24"/>
                <w:szCs w:val="24"/>
                <w:lang w:val="en-US"/>
              </w:rPr>
              <w:t>7</w:t>
            </w:r>
            <w:r w:rsidR="00146AC5">
              <w:rPr>
                <w:rFonts w:ascii="Times New Roman" w:hAnsi="Times New Roman" w:cs="Times New Roman"/>
                <w:b/>
                <w:bCs/>
                <w:color w:val="000000" w:themeColor="text1"/>
                <w:sz w:val="24"/>
                <w:szCs w:val="24"/>
                <w:lang w:val="en-US"/>
              </w:rPr>
              <w:t>2</w:t>
            </w:r>
          </w:p>
        </w:tc>
      </w:tr>
    </w:tbl>
    <w:p w14:paraId="2ECEDE49" w14:textId="3CE49B58" w:rsidR="00385DAF" w:rsidRDefault="00385DAF" w:rsidP="00385DAF">
      <w:pPr>
        <w:jc w:val="both"/>
        <w:rPr>
          <w:rFonts w:ascii="Times New Roman" w:hAnsi="Times New Roman" w:cs="Times New Roman"/>
          <w:sz w:val="24"/>
          <w:szCs w:val="24"/>
          <w:lang w:val="uz-Latn-UZ"/>
        </w:rPr>
      </w:pPr>
    </w:p>
    <w:p w14:paraId="29284F85" w14:textId="69D89563" w:rsidR="00882B6F" w:rsidRDefault="00882B6F" w:rsidP="00385DAF">
      <w:pPr>
        <w:jc w:val="both"/>
        <w:rPr>
          <w:rFonts w:ascii="Times New Roman" w:hAnsi="Times New Roman" w:cs="Times New Roman"/>
          <w:sz w:val="24"/>
          <w:szCs w:val="24"/>
        </w:rPr>
      </w:pPr>
    </w:p>
    <w:p w14:paraId="34E7E004" w14:textId="77777777" w:rsidR="007D5E6A" w:rsidRPr="00F26542" w:rsidRDefault="007D5E6A" w:rsidP="00385DAF">
      <w:pPr>
        <w:jc w:val="both"/>
        <w:rPr>
          <w:rFonts w:ascii="Times New Roman" w:hAnsi="Times New Roman" w:cs="Times New Roman"/>
          <w:sz w:val="24"/>
          <w:szCs w:val="24"/>
        </w:rPr>
      </w:pPr>
    </w:p>
    <w:p w14:paraId="51326412" w14:textId="46003E60" w:rsidR="00385DAF" w:rsidRPr="006D5BBB" w:rsidRDefault="00385DAF" w:rsidP="00385DAF">
      <w:pPr>
        <w:rPr>
          <w:rFonts w:ascii="Times New Roman" w:hAnsi="Times New Roman" w:cs="Times New Roman"/>
          <w:b/>
          <w:bCs/>
          <w:i/>
          <w:iCs/>
          <w:color w:val="2F5496" w:themeColor="accent1" w:themeShade="BF"/>
          <w:sz w:val="28"/>
          <w:szCs w:val="28"/>
          <w:lang w:val="uz-Latn-UZ"/>
        </w:rPr>
      </w:pPr>
      <w:r w:rsidRPr="006D5BBB">
        <w:rPr>
          <w:rFonts w:ascii="Malgun Gothic" w:eastAsia="Malgun Gothic" w:hAnsi="Malgun Gothic" w:cs="Times New Roman" w:hint="eastAsia"/>
          <w:b/>
          <w:bCs/>
          <w:color w:val="2F5496" w:themeColor="accent1" w:themeShade="BF"/>
          <w:sz w:val="28"/>
          <w:szCs w:val="28"/>
          <w:lang w:val="uz-Latn-UZ"/>
        </w:rPr>
        <w:lastRenderedPageBreak/>
        <w:t>□</w:t>
      </w:r>
      <w:r w:rsidRPr="006D5BBB">
        <w:rPr>
          <w:rFonts w:ascii="Times New Roman" w:hAnsi="Times New Roman" w:cs="Times New Roman"/>
          <w:b/>
          <w:bCs/>
          <w:i/>
          <w:iCs/>
          <w:color w:val="2F5496" w:themeColor="accent1" w:themeShade="BF"/>
          <w:sz w:val="28"/>
          <w:szCs w:val="28"/>
          <w:lang w:val="uz-Latn-UZ"/>
        </w:rPr>
        <w:t xml:space="preserve"> </w:t>
      </w:r>
      <w:r w:rsidR="00843BC6" w:rsidRPr="00843BC6">
        <w:rPr>
          <w:rFonts w:ascii="Times New Roman" w:hAnsi="Times New Roman" w:cs="Times New Roman"/>
          <w:b/>
          <w:bCs/>
          <w:i/>
          <w:iCs/>
          <w:color w:val="2F5496" w:themeColor="accent1" w:themeShade="BF"/>
          <w:sz w:val="28"/>
          <w:szCs w:val="28"/>
          <w:lang w:val="uz-Latn-UZ"/>
        </w:rPr>
        <w:t>Details of issues raised in appeals</w:t>
      </w:r>
    </w:p>
    <w:p w14:paraId="49EE21B1" w14:textId="223CFEC4" w:rsidR="00542B72" w:rsidRPr="00542B72" w:rsidRDefault="00843BC6" w:rsidP="00542B72">
      <w:pPr>
        <w:jc w:val="both"/>
        <w:rPr>
          <w:rFonts w:ascii="Times New Roman" w:hAnsi="Times New Roman" w:cs="Times New Roman"/>
          <w:sz w:val="24"/>
          <w:szCs w:val="24"/>
          <w:lang w:val="uz-Latn-UZ"/>
        </w:rPr>
      </w:pPr>
      <w:r w:rsidRPr="00843BC6">
        <w:rPr>
          <w:rFonts w:ascii="Times New Roman" w:hAnsi="Times New Roman" w:cs="Times New Roman"/>
          <w:sz w:val="24"/>
          <w:szCs w:val="24"/>
          <w:lang w:val="uz-Latn-UZ"/>
        </w:rPr>
        <w:t>The Bank received appeals on various topics as listed in the table above</w:t>
      </w:r>
      <w:r w:rsidR="005B6B37">
        <w:rPr>
          <w:rFonts w:ascii="Times New Roman" w:hAnsi="Times New Roman" w:cs="Times New Roman"/>
          <w:sz w:val="24"/>
          <w:szCs w:val="24"/>
          <w:lang w:val="uz-Latn-UZ"/>
        </w:rPr>
        <w:t>,</w:t>
      </w:r>
      <w:r w:rsidRPr="00843BC6">
        <w:rPr>
          <w:rFonts w:ascii="Times New Roman" w:hAnsi="Times New Roman" w:cs="Times New Roman"/>
          <w:sz w:val="24"/>
          <w:szCs w:val="24"/>
          <w:lang w:val="uz-Latn-UZ"/>
        </w:rPr>
        <w:t xml:space="preserve"> brief commentaries on their content are provided below:</w:t>
      </w:r>
    </w:p>
    <w:p w14:paraId="402C46B6" w14:textId="644E7445" w:rsidR="00C701C4" w:rsidRPr="0018745C" w:rsidRDefault="00843BC6" w:rsidP="00C701C4">
      <w:pPr>
        <w:pStyle w:val="ListParagraph"/>
        <w:numPr>
          <w:ilvl w:val="0"/>
          <w:numId w:val="7"/>
        </w:numPr>
        <w:spacing w:after="200"/>
        <w:jc w:val="both"/>
        <w:rPr>
          <w:rFonts w:ascii="Times New Roman" w:hAnsi="Times New Roman" w:cs="Times New Roman"/>
          <w:b/>
          <w:bCs/>
          <w:sz w:val="24"/>
          <w:szCs w:val="24"/>
          <w:lang w:val="uz-Latn-UZ"/>
        </w:rPr>
      </w:pPr>
      <w:r w:rsidRPr="00843BC6">
        <w:rPr>
          <w:rFonts w:ascii="Times New Roman" w:hAnsi="Times New Roman" w:cs="Times New Roman"/>
          <w:b/>
          <w:bCs/>
          <w:sz w:val="24"/>
          <w:szCs w:val="24"/>
          <w:lang w:val="uz-Latn-UZ"/>
        </w:rPr>
        <w:t>Bank loans and credit operations</w:t>
      </w:r>
    </w:p>
    <w:p w14:paraId="3EE07AA4" w14:textId="01DAD438" w:rsidR="00C701C4" w:rsidRDefault="00843BC6" w:rsidP="00C701C4">
      <w:pPr>
        <w:pStyle w:val="NormalWeb"/>
        <w:spacing w:before="0" w:beforeAutospacing="0" w:after="0" w:afterAutospacing="0"/>
        <w:rPr>
          <w:rFonts w:ascii="Times New Roman" w:hAnsi="Times New Roman" w:cs="Times New Roman"/>
          <w:sz w:val="24"/>
          <w:szCs w:val="24"/>
          <w:lang w:val="uz-Latn-UZ"/>
        </w:rPr>
      </w:pPr>
      <w:r w:rsidRPr="00843BC6">
        <w:rPr>
          <w:rFonts w:ascii="Times New Roman" w:hAnsi="Times New Roman" w:cs="Times New Roman"/>
          <w:sz w:val="24"/>
          <w:szCs w:val="24"/>
          <w:lang w:val="uz-Latn-UZ"/>
        </w:rPr>
        <w:t>There were 18 appeals regarding loans and microloans. Citizens requested the cancellation of illegal loans processed in their names by fraudsters via mobile apps and sought a total ban on any lending without their personal presence to prevent theft.</w:t>
      </w:r>
    </w:p>
    <w:p w14:paraId="430C1B38" w14:textId="77777777" w:rsidR="00843BC6" w:rsidRPr="0018745C" w:rsidRDefault="00843BC6" w:rsidP="00C701C4">
      <w:pPr>
        <w:pStyle w:val="NormalWeb"/>
        <w:spacing w:before="0" w:beforeAutospacing="0" w:after="0" w:afterAutospacing="0"/>
        <w:rPr>
          <w:lang w:val="uz-Latn-UZ"/>
        </w:rPr>
      </w:pPr>
    </w:p>
    <w:p w14:paraId="57E98401" w14:textId="6C81E519" w:rsidR="00843BC6" w:rsidRDefault="00843BC6" w:rsidP="00843BC6">
      <w:pPr>
        <w:pStyle w:val="ListParagraph"/>
        <w:numPr>
          <w:ilvl w:val="0"/>
          <w:numId w:val="7"/>
        </w:numPr>
        <w:spacing w:after="200"/>
        <w:jc w:val="both"/>
        <w:rPr>
          <w:rFonts w:ascii="Times New Roman" w:hAnsi="Times New Roman" w:cs="Times New Roman"/>
          <w:b/>
          <w:bCs/>
          <w:sz w:val="24"/>
          <w:szCs w:val="24"/>
          <w:lang w:val="uz-Latn-UZ"/>
        </w:rPr>
      </w:pPr>
      <w:r w:rsidRPr="00843BC6">
        <w:rPr>
          <w:rFonts w:ascii="Times New Roman" w:hAnsi="Times New Roman" w:cs="Times New Roman"/>
          <w:b/>
          <w:bCs/>
          <w:sz w:val="24"/>
          <w:szCs w:val="24"/>
          <w:lang w:val="uz-Latn-UZ"/>
        </w:rPr>
        <w:t xml:space="preserve">Bank </w:t>
      </w:r>
      <w:r w:rsidR="00F35845" w:rsidRPr="00843BC6">
        <w:rPr>
          <w:rFonts w:ascii="Times New Roman" w:hAnsi="Times New Roman" w:cs="Times New Roman"/>
          <w:b/>
          <w:bCs/>
          <w:sz w:val="24"/>
          <w:szCs w:val="24"/>
          <w:lang w:val="uz-Latn-UZ"/>
        </w:rPr>
        <w:t xml:space="preserve">savings and other deposit operations </w:t>
      </w:r>
    </w:p>
    <w:p w14:paraId="2091AB5B" w14:textId="0CDFCF92" w:rsidR="0018745C" w:rsidRDefault="00F35845" w:rsidP="00B76DB6">
      <w:pPr>
        <w:pStyle w:val="NormalWeb"/>
        <w:spacing w:before="0" w:beforeAutospacing="0" w:after="0" w:afterAutospacing="0"/>
        <w:jc w:val="both"/>
        <w:rPr>
          <w:rFonts w:ascii="Times New Roman" w:hAnsi="Times New Roman" w:cs="Times New Roman"/>
          <w:sz w:val="24"/>
          <w:szCs w:val="24"/>
          <w:lang w:val="uz-Latn-UZ"/>
        </w:rPr>
      </w:pPr>
      <w:r w:rsidRPr="00F35845">
        <w:rPr>
          <w:rFonts w:ascii="Times New Roman" w:hAnsi="Times New Roman" w:cs="Times New Roman"/>
          <w:sz w:val="24"/>
          <w:szCs w:val="24"/>
          <w:lang w:val="uz-Latn-UZ"/>
        </w:rPr>
        <w:t>12 appeals concerned requests from heirs and relatives for information on accounts, balances, and safe deposit boxes belonging to deceased or incapacitated individuals.</w:t>
      </w:r>
    </w:p>
    <w:p w14:paraId="012AC07A" w14:textId="77777777" w:rsidR="00F35845" w:rsidRPr="00843BC6" w:rsidRDefault="00F35845" w:rsidP="00B76DB6">
      <w:pPr>
        <w:pStyle w:val="NormalWeb"/>
        <w:spacing w:before="0" w:beforeAutospacing="0" w:after="0" w:afterAutospacing="0"/>
        <w:jc w:val="both"/>
        <w:rPr>
          <w:rFonts w:ascii="Times New Roman" w:hAnsi="Times New Roman" w:cs="Times New Roman"/>
          <w:sz w:val="24"/>
          <w:szCs w:val="24"/>
          <w:lang w:val="uz-Latn-UZ"/>
        </w:rPr>
      </w:pPr>
    </w:p>
    <w:p w14:paraId="19089F92" w14:textId="750B73B6" w:rsidR="00C701C4" w:rsidRPr="0028767E" w:rsidRDefault="00F35845" w:rsidP="00C701C4">
      <w:pPr>
        <w:pStyle w:val="ListParagraph"/>
        <w:numPr>
          <w:ilvl w:val="0"/>
          <w:numId w:val="7"/>
        </w:numPr>
        <w:spacing w:after="200"/>
        <w:jc w:val="both"/>
        <w:rPr>
          <w:rFonts w:ascii="Times New Roman" w:hAnsi="Times New Roman" w:cs="Times New Roman"/>
          <w:b/>
          <w:bCs/>
          <w:sz w:val="24"/>
          <w:szCs w:val="24"/>
          <w:lang w:val="uz-Latn-UZ"/>
        </w:rPr>
      </w:pPr>
      <w:r w:rsidRPr="0028767E">
        <w:rPr>
          <w:rFonts w:ascii="Times New Roman" w:hAnsi="Times New Roman" w:cs="Times New Roman"/>
          <w:b/>
          <w:bCs/>
          <w:sz w:val="24"/>
          <w:szCs w:val="24"/>
          <w:lang w:val="uz-Latn-UZ"/>
        </w:rPr>
        <w:t>Proposals regarding the banking system</w:t>
      </w:r>
    </w:p>
    <w:p w14:paraId="539C63F2" w14:textId="31D8301C" w:rsidR="00C701C4" w:rsidRPr="0018745C" w:rsidRDefault="00F35845" w:rsidP="00A000C9">
      <w:pPr>
        <w:pStyle w:val="NormalWeb"/>
        <w:spacing w:before="0" w:beforeAutospacing="0" w:after="0" w:afterAutospacing="0"/>
        <w:rPr>
          <w:rFonts w:ascii="Times New Roman" w:hAnsi="Times New Roman" w:cs="Times New Roman"/>
          <w:sz w:val="24"/>
          <w:szCs w:val="24"/>
          <w:lang w:val="uz-Latn-UZ"/>
        </w:rPr>
      </w:pPr>
      <w:r w:rsidRPr="0028767E">
        <w:rPr>
          <w:rFonts w:ascii="Times New Roman" w:hAnsi="Times New Roman" w:cs="Times New Roman"/>
          <w:sz w:val="24"/>
          <w:szCs w:val="24"/>
          <w:lang w:val="uz-Latn-UZ"/>
        </w:rPr>
        <w:t>1 proposal was received regarding the revision of customer service procedures.</w:t>
      </w:r>
    </w:p>
    <w:p w14:paraId="4E15EFB3" w14:textId="77777777" w:rsidR="0018745C" w:rsidRPr="0018745C" w:rsidRDefault="0018745C" w:rsidP="00A000C9">
      <w:pPr>
        <w:pStyle w:val="NormalWeb"/>
        <w:spacing w:before="0" w:beforeAutospacing="0" w:after="0" w:afterAutospacing="0"/>
        <w:rPr>
          <w:rFonts w:ascii="Times New Roman" w:hAnsi="Times New Roman" w:cs="Times New Roman"/>
          <w:sz w:val="24"/>
          <w:szCs w:val="24"/>
          <w:lang w:val="uz-Latn-UZ"/>
        </w:rPr>
      </w:pPr>
    </w:p>
    <w:p w14:paraId="0720AAAF" w14:textId="6AFC6760" w:rsidR="00A000C9" w:rsidRPr="0028767E" w:rsidRDefault="00F35845" w:rsidP="00A000C9">
      <w:pPr>
        <w:pStyle w:val="ListParagraph"/>
        <w:numPr>
          <w:ilvl w:val="0"/>
          <w:numId w:val="7"/>
        </w:numPr>
        <w:spacing w:after="200"/>
        <w:jc w:val="both"/>
        <w:rPr>
          <w:rFonts w:ascii="Times New Roman" w:hAnsi="Times New Roman" w:cs="Times New Roman"/>
          <w:b/>
          <w:bCs/>
          <w:sz w:val="24"/>
          <w:szCs w:val="24"/>
          <w:lang w:val="uz-Latn-UZ"/>
        </w:rPr>
      </w:pPr>
      <w:r w:rsidRPr="0028767E">
        <w:rPr>
          <w:rFonts w:ascii="Times New Roman" w:hAnsi="Times New Roman" w:cs="Times New Roman"/>
          <w:b/>
          <w:bCs/>
          <w:sz w:val="24"/>
          <w:szCs w:val="24"/>
          <w:lang w:val="uz-Latn-UZ"/>
        </w:rPr>
        <w:t>Code of conduct of bank employees</w:t>
      </w:r>
    </w:p>
    <w:p w14:paraId="59B8CAD5" w14:textId="722ECBBA" w:rsidR="00882B6F" w:rsidRPr="0028767E" w:rsidRDefault="00F35845" w:rsidP="00CC6360">
      <w:pPr>
        <w:pStyle w:val="NormalWeb"/>
        <w:spacing w:before="0" w:beforeAutospacing="0" w:after="0" w:afterAutospacing="0"/>
        <w:jc w:val="both"/>
        <w:rPr>
          <w:rFonts w:ascii="Times New Roman" w:hAnsi="Times New Roman" w:cs="Times New Roman"/>
          <w:sz w:val="24"/>
          <w:szCs w:val="24"/>
          <w:lang w:val="uz-Latn-UZ"/>
        </w:rPr>
      </w:pPr>
      <w:r w:rsidRPr="0028767E">
        <w:rPr>
          <w:rFonts w:ascii="Times New Roman" w:hAnsi="Times New Roman" w:cs="Times New Roman"/>
          <w:sz w:val="24"/>
          <w:szCs w:val="24"/>
          <w:lang w:val="uz-Latn-UZ"/>
        </w:rPr>
        <w:t>One instance was noted where an employee failed to respect a customer's request to use the state language during service. It was recommended to remind staff of communication etiquette and state language legislation to prevent future misunderstandings.</w:t>
      </w:r>
    </w:p>
    <w:p w14:paraId="214A27E5" w14:textId="160A2EDA" w:rsidR="00882B6F" w:rsidRPr="00882B6F" w:rsidRDefault="00882B6F" w:rsidP="00882B6F">
      <w:pPr>
        <w:pStyle w:val="NormalWeb"/>
        <w:spacing w:before="0" w:beforeAutospacing="0" w:after="0" w:afterAutospacing="0"/>
        <w:rPr>
          <w:rFonts w:ascii="Times New Roman" w:hAnsi="Times New Roman" w:cs="Times New Roman"/>
          <w:sz w:val="24"/>
          <w:szCs w:val="24"/>
          <w:lang w:val="uz-Latn-UZ"/>
        </w:rPr>
      </w:pPr>
    </w:p>
    <w:p w14:paraId="1CCCEE00" w14:textId="18DC6C89" w:rsidR="00100D8C" w:rsidRPr="0018745C" w:rsidRDefault="00F35845" w:rsidP="00100D8C">
      <w:pPr>
        <w:pStyle w:val="ListParagraph"/>
        <w:numPr>
          <w:ilvl w:val="0"/>
          <w:numId w:val="7"/>
        </w:numPr>
        <w:spacing w:after="200"/>
        <w:jc w:val="both"/>
        <w:rPr>
          <w:rFonts w:ascii="Times New Roman" w:hAnsi="Times New Roman" w:cs="Times New Roman"/>
          <w:b/>
          <w:bCs/>
          <w:sz w:val="24"/>
          <w:szCs w:val="24"/>
          <w:lang w:val="uz-Latn-UZ"/>
        </w:rPr>
      </w:pPr>
      <w:r w:rsidRPr="00F35845">
        <w:rPr>
          <w:rFonts w:ascii="Times New Roman" w:hAnsi="Times New Roman" w:cs="Times New Roman"/>
          <w:b/>
          <w:bCs/>
          <w:sz w:val="24"/>
          <w:szCs w:val="24"/>
          <w:lang w:val="uz-Latn-UZ"/>
        </w:rPr>
        <w:t>Procedures for opening and maintaining bank accounts</w:t>
      </w:r>
    </w:p>
    <w:p w14:paraId="7CD33DDB" w14:textId="20180733" w:rsidR="00100D8C" w:rsidRPr="0018745C" w:rsidRDefault="00F35845" w:rsidP="00100D8C">
      <w:pPr>
        <w:spacing w:after="0"/>
        <w:jc w:val="both"/>
        <w:rPr>
          <w:rFonts w:ascii="Times New Roman" w:hAnsi="Times New Roman" w:cs="Times New Roman"/>
          <w:sz w:val="24"/>
          <w:szCs w:val="24"/>
          <w:lang w:val="uz-Latn-UZ"/>
        </w:rPr>
      </w:pPr>
      <w:r w:rsidRPr="00F35845">
        <w:rPr>
          <w:rFonts w:ascii="Times New Roman" w:hAnsi="Times New Roman" w:cs="Times New Roman"/>
          <w:sz w:val="24"/>
          <w:szCs w:val="24"/>
          <w:lang w:val="uz-Latn-UZ"/>
        </w:rPr>
        <w:t>Requests were made to stop suspicious operations due to fraudulent loans and illegal foreign transfers. One appeal demanded the closure of fake accounts and the cancellation of transfers, while others requested bank-imposed restrictions on personal and organizational accounts as a security measure.</w:t>
      </w:r>
    </w:p>
    <w:p w14:paraId="3A53B4FC" w14:textId="3852EFB4" w:rsidR="00A000C9" w:rsidRPr="0018745C" w:rsidRDefault="00A000C9" w:rsidP="00E71BB9">
      <w:pPr>
        <w:rPr>
          <w:rFonts w:ascii="Times New Roman" w:hAnsi="Times New Roman" w:cs="Times New Roman"/>
          <w:b/>
          <w:bCs/>
          <w:sz w:val="24"/>
          <w:szCs w:val="24"/>
          <w:lang w:val="uz-Latn-UZ"/>
        </w:rPr>
      </w:pPr>
    </w:p>
    <w:p w14:paraId="42CEB03B" w14:textId="108E74E9" w:rsidR="004A16B7" w:rsidRPr="0018745C" w:rsidRDefault="00F35845" w:rsidP="00FE55BC">
      <w:pPr>
        <w:pStyle w:val="ListParagraph"/>
        <w:numPr>
          <w:ilvl w:val="0"/>
          <w:numId w:val="7"/>
        </w:numPr>
        <w:spacing w:after="200"/>
        <w:jc w:val="both"/>
        <w:rPr>
          <w:rFonts w:ascii="Times New Roman" w:hAnsi="Times New Roman" w:cs="Times New Roman"/>
          <w:b/>
          <w:bCs/>
          <w:sz w:val="24"/>
          <w:szCs w:val="24"/>
          <w:lang w:val="uz-Latn-UZ"/>
        </w:rPr>
      </w:pPr>
      <w:bookmarkStart w:id="1" w:name="_Hlk218849698"/>
      <w:r w:rsidRPr="00F35845">
        <w:rPr>
          <w:rFonts w:ascii="Times New Roman" w:hAnsi="Times New Roman" w:cs="Times New Roman"/>
          <w:b/>
          <w:bCs/>
          <w:sz w:val="24"/>
          <w:szCs w:val="24"/>
          <w:lang w:val="uz-Latn-UZ"/>
        </w:rPr>
        <w:t>Currency regulation and control</w:t>
      </w:r>
    </w:p>
    <w:p w14:paraId="140BE216" w14:textId="063DF207" w:rsidR="004A16B7" w:rsidRPr="0018745C" w:rsidRDefault="00F35845" w:rsidP="0018745C">
      <w:pPr>
        <w:spacing w:after="0"/>
        <w:jc w:val="both"/>
        <w:rPr>
          <w:rFonts w:ascii="Times New Roman" w:hAnsi="Times New Roman" w:cs="Times New Roman"/>
          <w:sz w:val="24"/>
          <w:szCs w:val="24"/>
          <w:lang w:val="uz-Latn-UZ"/>
        </w:rPr>
      </w:pPr>
      <w:r w:rsidRPr="00F35845">
        <w:rPr>
          <w:rFonts w:ascii="Times New Roman" w:hAnsi="Times New Roman" w:cs="Times New Roman"/>
          <w:sz w:val="24"/>
          <w:szCs w:val="24"/>
          <w:lang w:val="uz-Latn-UZ"/>
        </w:rPr>
        <w:t>2 appeals (from one individual) concerned breaches of banking secrecy due to the submission of incorrect currency operation data to tax authorities</w:t>
      </w:r>
      <w:r>
        <w:rPr>
          <w:rFonts w:ascii="Times New Roman" w:hAnsi="Times New Roman" w:cs="Times New Roman"/>
          <w:sz w:val="24"/>
          <w:szCs w:val="24"/>
          <w:lang w:val="uz-Latn-UZ"/>
        </w:rPr>
        <w:t>.</w:t>
      </w:r>
      <w:r w:rsidR="0018745C" w:rsidRPr="0018745C">
        <w:rPr>
          <w:rFonts w:ascii="Times New Roman" w:hAnsi="Times New Roman" w:cs="Times New Roman"/>
          <w:sz w:val="24"/>
          <w:szCs w:val="24"/>
          <w:lang w:val="uz-Latn-UZ"/>
        </w:rPr>
        <w:t xml:space="preserve"> </w:t>
      </w:r>
      <w:bookmarkEnd w:id="1"/>
    </w:p>
    <w:p w14:paraId="23539513" w14:textId="77777777" w:rsidR="0018745C" w:rsidRPr="0018745C" w:rsidRDefault="0018745C" w:rsidP="0018745C">
      <w:pPr>
        <w:spacing w:after="0"/>
        <w:jc w:val="both"/>
        <w:rPr>
          <w:rFonts w:ascii="Times New Roman" w:hAnsi="Times New Roman" w:cs="Times New Roman"/>
          <w:b/>
          <w:bCs/>
          <w:sz w:val="24"/>
          <w:szCs w:val="24"/>
          <w:lang w:val="uz-Latn-UZ"/>
        </w:rPr>
      </w:pPr>
    </w:p>
    <w:p w14:paraId="55C8A389" w14:textId="3E987907" w:rsidR="00E71BB9" w:rsidRPr="0018745C" w:rsidRDefault="00F35845" w:rsidP="00FE55BC">
      <w:pPr>
        <w:pStyle w:val="ListParagraph"/>
        <w:numPr>
          <w:ilvl w:val="0"/>
          <w:numId w:val="7"/>
        </w:numPr>
        <w:spacing w:after="200"/>
        <w:jc w:val="both"/>
        <w:rPr>
          <w:rFonts w:ascii="Times New Roman" w:hAnsi="Times New Roman" w:cs="Times New Roman"/>
          <w:color w:val="000000" w:themeColor="text1"/>
          <w:sz w:val="24"/>
          <w:szCs w:val="24"/>
          <w:lang w:val="en-US"/>
        </w:rPr>
      </w:pPr>
      <w:r w:rsidRPr="00F35845">
        <w:rPr>
          <w:rFonts w:ascii="Times New Roman" w:hAnsi="Times New Roman" w:cs="Times New Roman"/>
          <w:b/>
          <w:bCs/>
          <w:sz w:val="24"/>
          <w:szCs w:val="24"/>
          <w:lang w:val="uz-Latn-UZ"/>
        </w:rPr>
        <w:t>Plastic cards and terminals</w:t>
      </w:r>
      <w:r w:rsidRPr="0018745C">
        <w:rPr>
          <w:rFonts w:ascii="Times New Roman" w:hAnsi="Times New Roman" w:cs="Times New Roman"/>
          <w:color w:val="000000" w:themeColor="text1"/>
          <w:sz w:val="24"/>
          <w:szCs w:val="24"/>
          <w:lang w:val="en-US"/>
        </w:rPr>
        <w:t xml:space="preserve"> </w:t>
      </w:r>
    </w:p>
    <w:p w14:paraId="773C7C8E" w14:textId="06FBD599" w:rsidR="00E71BB9" w:rsidRPr="0018745C" w:rsidRDefault="00F35845" w:rsidP="00E71BB9">
      <w:pPr>
        <w:spacing w:after="0"/>
        <w:jc w:val="both"/>
        <w:rPr>
          <w:rFonts w:ascii="Times New Roman" w:hAnsi="Times New Roman" w:cs="Times New Roman"/>
          <w:sz w:val="24"/>
          <w:szCs w:val="24"/>
          <w:lang w:val="uz-Latn-UZ"/>
        </w:rPr>
      </w:pPr>
      <w:r w:rsidRPr="00F35845">
        <w:rPr>
          <w:rFonts w:ascii="Times New Roman" w:hAnsi="Times New Roman" w:cs="Times New Roman"/>
          <w:sz w:val="24"/>
          <w:szCs w:val="24"/>
          <w:lang w:val="uz-Latn-UZ"/>
        </w:rPr>
        <w:t>24 appeals</w:t>
      </w:r>
      <w:r>
        <w:rPr>
          <w:rFonts w:ascii="Times New Roman" w:hAnsi="Times New Roman" w:cs="Times New Roman"/>
          <w:sz w:val="24"/>
          <w:szCs w:val="24"/>
          <w:lang w:val="uz-Latn-UZ"/>
        </w:rPr>
        <w:t xml:space="preserve"> - </w:t>
      </w:r>
      <w:r w:rsidRPr="00F35845">
        <w:rPr>
          <w:rFonts w:ascii="Times New Roman" w:hAnsi="Times New Roman" w:cs="Times New Roman"/>
          <w:sz w:val="24"/>
          <w:szCs w:val="24"/>
          <w:lang w:val="uz-Latn-UZ"/>
        </w:rPr>
        <w:t>the largest category</w:t>
      </w:r>
      <w:r>
        <w:rPr>
          <w:rFonts w:ascii="Times New Roman" w:hAnsi="Times New Roman" w:cs="Times New Roman"/>
          <w:sz w:val="24"/>
          <w:szCs w:val="24"/>
          <w:lang w:val="uz-Latn-UZ"/>
        </w:rPr>
        <w:t xml:space="preserve"> - </w:t>
      </w:r>
      <w:r w:rsidRPr="00F35845">
        <w:rPr>
          <w:rFonts w:ascii="Times New Roman" w:hAnsi="Times New Roman" w:cs="Times New Roman"/>
          <w:sz w:val="24"/>
          <w:szCs w:val="24"/>
          <w:lang w:val="uz-Latn-UZ"/>
        </w:rPr>
        <w:t>primarily involved requests to block illegal accounts opened by fraudsters and to stop unauthorized fund withdrawals</w:t>
      </w:r>
      <w:r>
        <w:rPr>
          <w:rFonts w:ascii="Times New Roman" w:hAnsi="Times New Roman" w:cs="Times New Roman"/>
          <w:sz w:val="24"/>
          <w:szCs w:val="24"/>
          <w:lang w:val="uz-Latn-UZ"/>
        </w:rPr>
        <w:t>.</w:t>
      </w:r>
    </w:p>
    <w:p w14:paraId="3F6D3C69" w14:textId="77777777" w:rsidR="00E71BB9" w:rsidRPr="0018745C" w:rsidRDefault="00E71BB9" w:rsidP="00E71BB9">
      <w:pPr>
        <w:spacing w:after="0"/>
        <w:jc w:val="both"/>
        <w:rPr>
          <w:rFonts w:ascii="Times New Roman" w:hAnsi="Times New Roman" w:cs="Times New Roman"/>
          <w:sz w:val="24"/>
          <w:szCs w:val="24"/>
          <w:lang w:val="uz-Latn-UZ"/>
        </w:rPr>
      </w:pPr>
    </w:p>
    <w:p w14:paraId="67CE3247" w14:textId="2AEC7461" w:rsidR="00536CF2" w:rsidRPr="0018745C" w:rsidRDefault="00F35845" w:rsidP="00FE55BC">
      <w:pPr>
        <w:pStyle w:val="ListParagraph"/>
        <w:numPr>
          <w:ilvl w:val="0"/>
          <w:numId w:val="7"/>
        </w:numPr>
        <w:spacing w:after="200"/>
        <w:jc w:val="both"/>
        <w:rPr>
          <w:rFonts w:ascii="Times New Roman" w:hAnsi="Times New Roman" w:cs="Times New Roman"/>
          <w:b/>
          <w:bCs/>
          <w:sz w:val="24"/>
          <w:szCs w:val="24"/>
          <w:lang w:val="uz-Latn-UZ"/>
        </w:rPr>
      </w:pPr>
      <w:r w:rsidRPr="00F35845">
        <w:rPr>
          <w:rFonts w:ascii="Times New Roman" w:hAnsi="Times New Roman" w:cs="Times New Roman"/>
          <w:b/>
          <w:bCs/>
          <w:sz w:val="24"/>
          <w:szCs w:val="24"/>
          <w:lang w:val="uz-Latn-UZ"/>
        </w:rPr>
        <w:t>Payment systems and non-cash settlements</w:t>
      </w:r>
    </w:p>
    <w:p w14:paraId="78302820" w14:textId="5CA853C3" w:rsidR="00FE55BC" w:rsidRPr="0018745C" w:rsidRDefault="00F35845" w:rsidP="0018745C">
      <w:pPr>
        <w:spacing w:after="0"/>
        <w:jc w:val="both"/>
        <w:rPr>
          <w:rFonts w:ascii="Times New Roman" w:hAnsi="Times New Roman" w:cs="Times New Roman"/>
          <w:sz w:val="24"/>
          <w:szCs w:val="24"/>
          <w:lang w:val="uz-Latn-UZ"/>
        </w:rPr>
      </w:pPr>
      <w:r w:rsidRPr="00F35845">
        <w:rPr>
          <w:rFonts w:ascii="Times New Roman" w:hAnsi="Times New Roman" w:cs="Times New Roman"/>
          <w:sz w:val="24"/>
          <w:szCs w:val="24"/>
          <w:lang w:val="uz-Latn-UZ"/>
        </w:rPr>
        <w:t>Issues included the non-execution of collection orders based on court decisions and delays in crediting international transfers. Complaints also cited technical glitches in the mobile app and suboptimal service quality</w:t>
      </w:r>
      <w:r w:rsidR="0018745C" w:rsidRPr="0018745C">
        <w:rPr>
          <w:rFonts w:ascii="Times New Roman" w:hAnsi="Times New Roman" w:cs="Times New Roman"/>
          <w:sz w:val="24"/>
          <w:szCs w:val="24"/>
          <w:lang w:val="uz-Latn-UZ"/>
        </w:rPr>
        <w:t>.</w:t>
      </w:r>
    </w:p>
    <w:p w14:paraId="15A648AA" w14:textId="1A2665BB" w:rsidR="0018745C" w:rsidRDefault="0018745C" w:rsidP="0018745C">
      <w:pPr>
        <w:spacing w:after="0"/>
        <w:jc w:val="both"/>
        <w:rPr>
          <w:rFonts w:ascii="Calibri" w:hAnsi="Calibri" w:cs="Calibri"/>
          <w:color w:val="000000"/>
          <w:lang w:val="uz-Latn-UZ"/>
        </w:rPr>
      </w:pPr>
    </w:p>
    <w:p w14:paraId="4E19804A" w14:textId="435B6A0E" w:rsidR="00050364" w:rsidRDefault="00050364" w:rsidP="0018745C">
      <w:pPr>
        <w:spacing w:after="0"/>
        <w:jc w:val="both"/>
        <w:rPr>
          <w:rFonts w:ascii="Calibri" w:hAnsi="Calibri" w:cs="Calibri"/>
          <w:color w:val="000000"/>
          <w:lang w:val="uz-Latn-UZ"/>
        </w:rPr>
      </w:pPr>
    </w:p>
    <w:p w14:paraId="25006664" w14:textId="77777777" w:rsidR="00050364" w:rsidRPr="0018745C" w:rsidRDefault="00050364" w:rsidP="0018745C">
      <w:pPr>
        <w:spacing w:after="0"/>
        <w:jc w:val="both"/>
        <w:rPr>
          <w:rFonts w:ascii="Calibri" w:hAnsi="Calibri" w:cs="Calibri"/>
          <w:color w:val="000000"/>
          <w:lang w:val="uz-Latn-UZ"/>
        </w:rPr>
      </w:pPr>
    </w:p>
    <w:p w14:paraId="2DD5817E" w14:textId="71E5BA14" w:rsidR="00FE55BC" w:rsidRPr="0018745C" w:rsidRDefault="00F35845" w:rsidP="00FE55BC">
      <w:pPr>
        <w:pStyle w:val="ListParagraph"/>
        <w:numPr>
          <w:ilvl w:val="0"/>
          <w:numId w:val="7"/>
        </w:numPr>
        <w:spacing w:after="200"/>
        <w:jc w:val="both"/>
        <w:rPr>
          <w:rFonts w:ascii="Times New Roman" w:hAnsi="Times New Roman" w:cs="Times New Roman"/>
          <w:b/>
          <w:bCs/>
          <w:sz w:val="24"/>
          <w:szCs w:val="24"/>
          <w:lang w:val="uz-Latn-UZ"/>
        </w:rPr>
      </w:pPr>
      <w:r w:rsidRPr="00F35845">
        <w:rPr>
          <w:rFonts w:ascii="Times New Roman" w:hAnsi="Times New Roman" w:cs="Times New Roman"/>
          <w:b/>
          <w:bCs/>
          <w:sz w:val="24"/>
          <w:szCs w:val="24"/>
          <w:lang w:val="uz-Latn-UZ"/>
        </w:rPr>
        <w:lastRenderedPageBreak/>
        <w:t xml:space="preserve">Other </w:t>
      </w:r>
      <w:r>
        <w:rPr>
          <w:rFonts w:ascii="Times New Roman" w:hAnsi="Times New Roman" w:cs="Times New Roman"/>
          <w:b/>
          <w:bCs/>
          <w:sz w:val="24"/>
          <w:szCs w:val="24"/>
          <w:lang w:val="uz-Latn-UZ"/>
        </w:rPr>
        <w:t>m</w:t>
      </w:r>
      <w:r w:rsidRPr="00F35845">
        <w:rPr>
          <w:rFonts w:ascii="Times New Roman" w:hAnsi="Times New Roman" w:cs="Times New Roman"/>
          <w:b/>
          <w:bCs/>
          <w:sz w:val="24"/>
          <w:szCs w:val="24"/>
          <w:lang w:val="uz-Latn-UZ"/>
        </w:rPr>
        <w:t>atters</w:t>
      </w:r>
    </w:p>
    <w:p w14:paraId="566211AD" w14:textId="6C197DAA" w:rsidR="00FE55BC" w:rsidRPr="0018745C" w:rsidRDefault="00F35845" w:rsidP="00536CF2">
      <w:pPr>
        <w:spacing w:after="0"/>
        <w:jc w:val="both"/>
        <w:rPr>
          <w:rFonts w:ascii="Times New Roman" w:hAnsi="Times New Roman" w:cs="Times New Roman"/>
          <w:sz w:val="24"/>
          <w:szCs w:val="24"/>
          <w:lang w:val="uz-Latn-UZ"/>
        </w:rPr>
      </w:pPr>
      <w:r w:rsidRPr="00F35845">
        <w:rPr>
          <w:rFonts w:ascii="Times New Roman" w:hAnsi="Times New Roman" w:cs="Times New Roman"/>
          <w:sz w:val="24"/>
          <w:szCs w:val="24"/>
          <w:lang w:val="uz-Latn-UZ"/>
        </w:rPr>
        <w:t>These included urgent requests to stop suspicious transactions and block accounts due to fraud risk, technical improvements to the mobile app, and the review of job applications submitted by specialists.</w:t>
      </w:r>
      <w:r w:rsidR="00FE55BC" w:rsidRPr="0018745C">
        <w:rPr>
          <w:rFonts w:ascii="Times New Roman" w:hAnsi="Times New Roman" w:cs="Times New Roman"/>
          <w:sz w:val="24"/>
          <w:szCs w:val="24"/>
          <w:lang w:val="uz-Latn-UZ"/>
        </w:rPr>
        <w:t xml:space="preserve"> </w:t>
      </w:r>
    </w:p>
    <w:p w14:paraId="29B26882" w14:textId="3E89C641" w:rsidR="00D765C8" w:rsidRPr="00557C33" w:rsidRDefault="00D765C8" w:rsidP="007D5E6A">
      <w:pPr>
        <w:spacing w:after="0"/>
        <w:jc w:val="both"/>
        <w:rPr>
          <w:rFonts w:ascii="Times New Roman" w:hAnsi="Times New Roman" w:cs="Times New Roman"/>
          <w:sz w:val="24"/>
          <w:szCs w:val="24"/>
          <w:lang w:val="uz-Latn-UZ"/>
        </w:rPr>
      </w:pPr>
    </w:p>
    <w:p w14:paraId="3C5FFAE6" w14:textId="1BF07045" w:rsidR="00D765C8" w:rsidRPr="006D5BBB" w:rsidRDefault="00D765C8" w:rsidP="005A78AD">
      <w:pPr>
        <w:jc w:val="both"/>
        <w:rPr>
          <w:rFonts w:ascii="Times New Roman" w:hAnsi="Times New Roman" w:cs="Times New Roman"/>
          <w:b/>
          <w:bCs/>
          <w:i/>
          <w:iCs/>
          <w:color w:val="2F5496" w:themeColor="accent1" w:themeShade="BF"/>
          <w:sz w:val="28"/>
          <w:szCs w:val="28"/>
          <w:lang w:val="uz-Latn-UZ"/>
        </w:rPr>
      </w:pPr>
      <w:r w:rsidRPr="006D5BBB">
        <w:rPr>
          <w:rFonts w:ascii="Malgun Gothic" w:eastAsia="Malgun Gothic" w:hAnsi="Malgun Gothic" w:cs="Times New Roman" w:hint="eastAsia"/>
          <w:b/>
          <w:bCs/>
          <w:color w:val="2F5496" w:themeColor="accent1" w:themeShade="BF"/>
          <w:sz w:val="28"/>
          <w:szCs w:val="28"/>
          <w:lang w:val="uz-Latn-UZ"/>
        </w:rPr>
        <w:t>□</w:t>
      </w:r>
      <w:r w:rsidRPr="006D5BBB">
        <w:rPr>
          <w:rFonts w:ascii="Times New Roman" w:hAnsi="Times New Roman" w:cs="Times New Roman"/>
          <w:b/>
          <w:bCs/>
          <w:i/>
          <w:iCs/>
          <w:color w:val="2F5496" w:themeColor="accent1" w:themeShade="BF"/>
          <w:sz w:val="28"/>
          <w:szCs w:val="28"/>
          <w:lang w:val="uz-Latn-UZ"/>
        </w:rPr>
        <w:t xml:space="preserve"> </w:t>
      </w:r>
      <w:r w:rsidR="00F35845" w:rsidRPr="00F35845">
        <w:rPr>
          <w:rFonts w:ascii="Times New Roman" w:hAnsi="Times New Roman" w:cs="Times New Roman"/>
          <w:b/>
          <w:bCs/>
          <w:i/>
          <w:iCs/>
          <w:color w:val="2F5496" w:themeColor="accent1" w:themeShade="BF"/>
          <w:sz w:val="28"/>
          <w:szCs w:val="28"/>
          <w:lang w:val="uz-Latn-UZ"/>
        </w:rPr>
        <w:t>Review of appeals, systemic deficiencies, and remedial measures</w:t>
      </w:r>
    </w:p>
    <w:p w14:paraId="69ED0DCA" w14:textId="77777777" w:rsidR="00F35845" w:rsidRDefault="00F35845" w:rsidP="005452F1">
      <w:pPr>
        <w:jc w:val="both"/>
        <w:rPr>
          <w:rFonts w:ascii="Times New Roman" w:hAnsi="Times New Roman" w:cs="Times New Roman"/>
          <w:sz w:val="24"/>
          <w:szCs w:val="24"/>
          <w:lang w:val="uz-Latn-UZ"/>
        </w:rPr>
      </w:pPr>
      <w:r w:rsidRPr="00F35845">
        <w:rPr>
          <w:rFonts w:ascii="Times New Roman" w:hAnsi="Times New Roman" w:cs="Times New Roman"/>
          <w:sz w:val="24"/>
          <w:szCs w:val="24"/>
          <w:lang w:val="uz-Latn-UZ"/>
        </w:rPr>
        <w:t xml:space="preserve">All appeals received in 2025 were reviewed by the Bank's management and responsible officers within legal timeframes. Explanations were provided, and formal response letters were sent. The management strictly followed the schedule for receiving individuals and representatives of legal entities, and no complaints were received regarding this process. </w:t>
      </w:r>
    </w:p>
    <w:p w14:paraId="3EA89A90" w14:textId="2FB46528" w:rsidR="008D6279" w:rsidRPr="005A78AD" w:rsidRDefault="00F35845" w:rsidP="005452F1">
      <w:pPr>
        <w:jc w:val="both"/>
        <w:rPr>
          <w:rFonts w:ascii="Times New Roman" w:hAnsi="Times New Roman" w:cs="Times New Roman"/>
          <w:sz w:val="24"/>
          <w:szCs w:val="24"/>
          <w:lang w:val="uz-Latn-UZ"/>
        </w:rPr>
      </w:pPr>
      <w:r w:rsidRPr="00F35845">
        <w:rPr>
          <w:rFonts w:ascii="Times New Roman" w:hAnsi="Times New Roman" w:cs="Times New Roman"/>
          <w:sz w:val="24"/>
          <w:szCs w:val="24"/>
          <w:lang w:val="uz-Latn-UZ"/>
        </w:rPr>
        <w:t>Following a deep analysis, the following systemic deficiencies were identified, and measures are being taken to address them:</w:t>
      </w:r>
    </w:p>
    <w:p w14:paraId="227FD5BB" w14:textId="29EE5326" w:rsidR="00F35845" w:rsidRPr="00F35845" w:rsidRDefault="00F35845" w:rsidP="00F35845">
      <w:pPr>
        <w:pStyle w:val="ListParagraph"/>
        <w:numPr>
          <w:ilvl w:val="0"/>
          <w:numId w:val="12"/>
        </w:numPr>
        <w:ind w:left="0" w:firstLine="360"/>
        <w:jc w:val="both"/>
        <w:rPr>
          <w:rFonts w:ascii="Times New Roman" w:hAnsi="Times New Roman" w:cs="Times New Roman"/>
          <w:sz w:val="24"/>
          <w:szCs w:val="24"/>
          <w:lang w:val="en-GB"/>
        </w:rPr>
      </w:pPr>
      <w:r w:rsidRPr="00F35845">
        <w:rPr>
          <w:rFonts w:ascii="Times New Roman" w:hAnsi="Times New Roman" w:cs="Times New Roman"/>
          <w:sz w:val="24"/>
          <w:szCs w:val="24"/>
          <w:lang w:val="en-GB"/>
        </w:rPr>
        <w:t xml:space="preserve">Digital </w:t>
      </w:r>
      <w:r>
        <w:rPr>
          <w:rFonts w:ascii="Times New Roman" w:hAnsi="Times New Roman" w:cs="Times New Roman"/>
          <w:sz w:val="24"/>
          <w:szCs w:val="24"/>
          <w:lang w:val="en-GB"/>
        </w:rPr>
        <w:t>s</w:t>
      </w:r>
      <w:r w:rsidRPr="00F35845">
        <w:rPr>
          <w:rFonts w:ascii="Times New Roman" w:hAnsi="Times New Roman" w:cs="Times New Roman"/>
          <w:sz w:val="24"/>
          <w:szCs w:val="24"/>
          <w:lang w:val="en-GB"/>
        </w:rPr>
        <w:t xml:space="preserve">ervices: Issues such as insufficient or delayed data in mobile app reports and service interruptions on weekends are being addressed step-by-step by the Digital Banking and Information Technology departments. </w:t>
      </w:r>
    </w:p>
    <w:p w14:paraId="1D372EDE" w14:textId="7A695DF6" w:rsidR="00F35845" w:rsidRPr="00F35845" w:rsidRDefault="00F35845" w:rsidP="00CD17BB">
      <w:pPr>
        <w:pStyle w:val="ListParagraph"/>
        <w:numPr>
          <w:ilvl w:val="0"/>
          <w:numId w:val="12"/>
        </w:numPr>
        <w:spacing w:line="240" w:lineRule="auto"/>
        <w:ind w:left="0" w:firstLine="360"/>
        <w:jc w:val="both"/>
        <w:rPr>
          <w:rFonts w:ascii="Times New Roman" w:hAnsi="Times New Roman" w:cs="Times New Roman"/>
          <w:sz w:val="24"/>
          <w:szCs w:val="24"/>
          <w:lang w:val="en-GB"/>
        </w:rPr>
      </w:pPr>
      <w:r w:rsidRPr="00F35845">
        <w:rPr>
          <w:rFonts w:ascii="Times New Roman" w:hAnsi="Times New Roman" w:cs="Times New Roman"/>
          <w:sz w:val="24"/>
          <w:szCs w:val="24"/>
          <w:lang w:val="en-GB"/>
        </w:rPr>
        <w:t xml:space="preserve">Operational </w:t>
      </w:r>
      <w:r>
        <w:rPr>
          <w:rFonts w:ascii="Times New Roman" w:hAnsi="Times New Roman" w:cs="Times New Roman"/>
          <w:sz w:val="24"/>
          <w:szCs w:val="24"/>
          <w:lang w:val="en-GB"/>
        </w:rPr>
        <w:t>s</w:t>
      </w:r>
      <w:r w:rsidRPr="00F35845">
        <w:rPr>
          <w:rFonts w:ascii="Times New Roman" w:hAnsi="Times New Roman" w:cs="Times New Roman"/>
          <w:sz w:val="24"/>
          <w:szCs w:val="24"/>
          <w:lang w:val="en-GB"/>
        </w:rPr>
        <w:t xml:space="preserve">tability: To reduce technical failures in ATMs, terminals, and card operations, the Bank Cards and Operations departments are working to mitigate operational risks and prevent customer dissatisfaction. </w:t>
      </w:r>
    </w:p>
    <w:p w14:paraId="690DBC82" w14:textId="2996E1A3" w:rsidR="00F35845" w:rsidRPr="00050364" w:rsidRDefault="00F35845" w:rsidP="00CD17BB">
      <w:pPr>
        <w:pStyle w:val="ListParagraph"/>
        <w:numPr>
          <w:ilvl w:val="0"/>
          <w:numId w:val="12"/>
        </w:numPr>
        <w:spacing w:line="240" w:lineRule="auto"/>
        <w:ind w:left="0" w:firstLine="360"/>
        <w:jc w:val="both"/>
        <w:rPr>
          <w:rFonts w:ascii="Times New Roman" w:hAnsi="Times New Roman" w:cs="Times New Roman"/>
          <w:sz w:val="24"/>
          <w:szCs w:val="24"/>
          <w:lang w:val="en-GB"/>
        </w:rPr>
      </w:pPr>
      <w:r w:rsidRPr="00050364">
        <w:rPr>
          <w:rFonts w:ascii="Times New Roman" w:hAnsi="Times New Roman" w:cs="Times New Roman"/>
          <w:sz w:val="24"/>
          <w:szCs w:val="24"/>
          <w:lang w:val="en-GB"/>
        </w:rPr>
        <w:t xml:space="preserve">Cybersecurity and literacy: Given the rise in financial fraud alongside the popularity of online banking, the Bank is focusing heavily on cybersecurity and increasing the financial literacy of its consumers. </w:t>
      </w:r>
    </w:p>
    <w:p w14:paraId="4F05BA77" w14:textId="3A925F02" w:rsidR="00F35845" w:rsidRPr="00F35845" w:rsidRDefault="00F35845" w:rsidP="00050364">
      <w:pPr>
        <w:jc w:val="both"/>
        <w:rPr>
          <w:rFonts w:ascii="Times New Roman" w:hAnsi="Times New Roman" w:cs="Times New Roman"/>
          <w:sz w:val="24"/>
          <w:szCs w:val="24"/>
          <w:lang w:val="en-GB"/>
        </w:rPr>
      </w:pPr>
      <w:r w:rsidRPr="00F35845">
        <w:rPr>
          <w:rFonts w:ascii="Times New Roman" w:hAnsi="Times New Roman" w:cs="Times New Roman"/>
          <w:sz w:val="24"/>
          <w:szCs w:val="24"/>
          <w:lang w:val="en-GB"/>
        </w:rPr>
        <w:t>Currently, combating financial fraud</w:t>
      </w:r>
      <w:r>
        <w:rPr>
          <w:rFonts w:ascii="Times New Roman" w:hAnsi="Times New Roman" w:cs="Times New Roman"/>
          <w:sz w:val="24"/>
          <w:szCs w:val="24"/>
          <w:lang w:val="en-GB"/>
        </w:rPr>
        <w:t xml:space="preserve"> </w:t>
      </w:r>
      <w:r w:rsidRPr="00F35845">
        <w:rPr>
          <w:rFonts w:ascii="Times New Roman" w:hAnsi="Times New Roman" w:cs="Times New Roman"/>
          <w:sz w:val="24"/>
          <w:szCs w:val="24"/>
          <w:lang w:val="en-GB"/>
        </w:rPr>
        <w:t>which can lead to the violation of consumer rights, material damage, and customer complaints</w:t>
      </w:r>
      <w:r>
        <w:rPr>
          <w:rFonts w:ascii="Times New Roman" w:hAnsi="Times New Roman" w:cs="Times New Roman"/>
          <w:sz w:val="24"/>
          <w:szCs w:val="24"/>
          <w:lang w:val="en-GB"/>
        </w:rPr>
        <w:t xml:space="preserve"> </w:t>
      </w:r>
      <w:r w:rsidRPr="00F35845">
        <w:rPr>
          <w:rFonts w:ascii="Times New Roman" w:hAnsi="Times New Roman" w:cs="Times New Roman"/>
          <w:sz w:val="24"/>
          <w:szCs w:val="24"/>
          <w:lang w:val="en-GB"/>
        </w:rPr>
        <w:t xml:space="preserve">remains a top priority for "KDB Bank Uzbekistan" JSC. </w:t>
      </w:r>
    </w:p>
    <w:p w14:paraId="77736007" w14:textId="7C05EB84" w:rsidR="00D87BE5" w:rsidRPr="00F35845" w:rsidRDefault="00D87BE5" w:rsidP="00D87BE5">
      <w:pPr>
        <w:jc w:val="both"/>
        <w:rPr>
          <w:rFonts w:ascii="Times New Roman" w:hAnsi="Times New Roman" w:cs="Times New Roman"/>
          <w:sz w:val="24"/>
          <w:szCs w:val="24"/>
          <w:lang w:val="en-GB"/>
        </w:rPr>
      </w:pPr>
    </w:p>
    <w:sectPr w:rsidR="00D87BE5" w:rsidRPr="00F35845" w:rsidSect="00856AB3">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F2"/>
    <w:multiLevelType w:val="hybridMultilevel"/>
    <w:tmpl w:val="F702D11A"/>
    <w:lvl w:ilvl="0" w:tplc="8E40945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8D3238"/>
    <w:multiLevelType w:val="hybridMultilevel"/>
    <w:tmpl w:val="C22CB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F54F3"/>
    <w:multiLevelType w:val="hybridMultilevel"/>
    <w:tmpl w:val="8CC61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70A51"/>
    <w:multiLevelType w:val="hybridMultilevel"/>
    <w:tmpl w:val="D08C2B2E"/>
    <w:lvl w:ilvl="0" w:tplc="DED04E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7F7D2B"/>
    <w:multiLevelType w:val="hybridMultilevel"/>
    <w:tmpl w:val="C22CBE3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072E32"/>
    <w:multiLevelType w:val="hybridMultilevel"/>
    <w:tmpl w:val="F38CC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480BAE"/>
    <w:multiLevelType w:val="hybridMultilevel"/>
    <w:tmpl w:val="8E9686A2"/>
    <w:lvl w:ilvl="0" w:tplc="7BEC819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A30C8A"/>
    <w:multiLevelType w:val="hybridMultilevel"/>
    <w:tmpl w:val="A036C54C"/>
    <w:lvl w:ilvl="0" w:tplc="C64C0E36">
      <w:start w:val="2024"/>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FB5FBA"/>
    <w:multiLevelType w:val="hybridMultilevel"/>
    <w:tmpl w:val="36EEA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C100EC"/>
    <w:multiLevelType w:val="hybridMultilevel"/>
    <w:tmpl w:val="6D9A07E0"/>
    <w:lvl w:ilvl="0" w:tplc="3D8A5126">
      <w:numFmt w:val="bullet"/>
      <w:lvlText w:val=""/>
      <w:lvlJc w:val="left"/>
      <w:pPr>
        <w:ind w:left="540" w:hanging="360"/>
      </w:pPr>
      <w:rPr>
        <w:rFonts w:ascii="Symbol" w:eastAsiaTheme="minorHAnsi"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0" w15:restartNumberingAfterBreak="0">
    <w:nsid w:val="5C1C5DE9"/>
    <w:multiLevelType w:val="hybridMultilevel"/>
    <w:tmpl w:val="93B4017C"/>
    <w:lvl w:ilvl="0" w:tplc="5784CA0A">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F9755A"/>
    <w:multiLevelType w:val="hybridMultilevel"/>
    <w:tmpl w:val="B87E60C6"/>
    <w:lvl w:ilvl="0" w:tplc="7BEC819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565C1F"/>
    <w:multiLevelType w:val="hybridMultilevel"/>
    <w:tmpl w:val="9F60B29A"/>
    <w:lvl w:ilvl="0" w:tplc="DED04E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3"/>
  </w:num>
  <w:num w:numId="5">
    <w:abstractNumId w:val="12"/>
  </w:num>
  <w:num w:numId="6">
    <w:abstractNumId w:val="7"/>
  </w:num>
  <w:num w:numId="7">
    <w:abstractNumId w:val="4"/>
  </w:num>
  <w:num w:numId="8">
    <w:abstractNumId w:val="8"/>
  </w:num>
  <w:num w:numId="9">
    <w:abstractNumId w:val="1"/>
  </w:num>
  <w:num w:numId="10">
    <w:abstractNumId w:val="6"/>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C0"/>
    <w:rsid w:val="00022336"/>
    <w:rsid w:val="00023CFD"/>
    <w:rsid w:val="00030901"/>
    <w:rsid w:val="00050364"/>
    <w:rsid w:val="000B3F09"/>
    <w:rsid w:val="000C78FF"/>
    <w:rsid w:val="000F1DF6"/>
    <w:rsid w:val="00100D8C"/>
    <w:rsid w:val="001078AC"/>
    <w:rsid w:val="001410BA"/>
    <w:rsid w:val="00146AC5"/>
    <w:rsid w:val="001557E9"/>
    <w:rsid w:val="00163785"/>
    <w:rsid w:val="0018745C"/>
    <w:rsid w:val="001C64C8"/>
    <w:rsid w:val="001D38DD"/>
    <w:rsid w:val="001D709A"/>
    <w:rsid w:val="00212F6A"/>
    <w:rsid w:val="002341B8"/>
    <w:rsid w:val="0023722E"/>
    <w:rsid w:val="00255B6D"/>
    <w:rsid w:val="00271F09"/>
    <w:rsid w:val="00272522"/>
    <w:rsid w:val="0028767E"/>
    <w:rsid w:val="002A18C5"/>
    <w:rsid w:val="002C3666"/>
    <w:rsid w:val="002F098B"/>
    <w:rsid w:val="002F2D67"/>
    <w:rsid w:val="002F4F4E"/>
    <w:rsid w:val="002F503C"/>
    <w:rsid w:val="00300E12"/>
    <w:rsid w:val="00306B53"/>
    <w:rsid w:val="00325D3C"/>
    <w:rsid w:val="003309E3"/>
    <w:rsid w:val="003509B3"/>
    <w:rsid w:val="00351FC3"/>
    <w:rsid w:val="0035221B"/>
    <w:rsid w:val="00355735"/>
    <w:rsid w:val="003846A8"/>
    <w:rsid w:val="00384744"/>
    <w:rsid w:val="00385DAF"/>
    <w:rsid w:val="003908A3"/>
    <w:rsid w:val="003A54E4"/>
    <w:rsid w:val="003B2D87"/>
    <w:rsid w:val="003D1AF9"/>
    <w:rsid w:val="003E3005"/>
    <w:rsid w:val="003F49FB"/>
    <w:rsid w:val="00400A41"/>
    <w:rsid w:val="00410DC4"/>
    <w:rsid w:val="00431CFD"/>
    <w:rsid w:val="00434A59"/>
    <w:rsid w:val="00455924"/>
    <w:rsid w:val="004A16B7"/>
    <w:rsid w:val="004B0EEA"/>
    <w:rsid w:val="004B1C99"/>
    <w:rsid w:val="004B215D"/>
    <w:rsid w:val="004D2B9A"/>
    <w:rsid w:val="004F4765"/>
    <w:rsid w:val="00516852"/>
    <w:rsid w:val="00536CF2"/>
    <w:rsid w:val="00537288"/>
    <w:rsid w:val="00542B72"/>
    <w:rsid w:val="005452F1"/>
    <w:rsid w:val="00557C33"/>
    <w:rsid w:val="00572382"/>
    <w:rsid w:val="00595D6B"/>
    <w:rsid w:val="005A78AD"/>
    <w:rsid w:val="005B64CF"/>
    <w:rsid w:val="005B6B37"/>
    <w:rsid w:val="00615AB4"/>
    <w:rsid w:val="0061746E"/>
    <w:rsid w:val="00627F8B"/>
    <w:rsid w:val="00637AB2"/>
    <w:rsid w:val="00651640"/>
    <w:rsid w:val="00651A3B"/>
    <w:rsid w:val="00673AA6"/>
    <w:rsid w:val="0067430E"/>
    <w:rsid w:val="006A106D"/>
    <w:rsid w:val="006B1D75"/>
    <w:rsid w:val="006D5BBB"/>
    <w:rsid w:val="006F2BAF"/>
    <w:rsid w:val="0072301C"/>
    <w:rsid w:val="007533D8"/>
    <w:rsid w:val="00763D0B"/>
    <w:rsid w:val="00793483"/>
    <w:rsid w:val="007A15F3"/>
    <w:rsid w:val="007C22E6"/>
    <w:rsid w:val="007C4ABF"/>
    <w:rsid w:val="007C72BF"/>
    <w:rsid w:val="007D51B4"/>
    <w:rsid w:val="007D5E6A"/>
    <w:rsid w:val="00802FBC"/>
    <w:rsid w:val="00843BC6"/>
    <w:rsid w:val="00856AB3"/>
    <w:rsid w:val="0086653B"/>
    <w:rsid w:val="00866C76"/>
    <w:rsid w:val="00882B6F"/>
    <w:rsid w:val="008B3227"/>
    <w:rsid w:val="008D6279"/>
    <w:rsid w:val="008E18D9"/>
    <w:rsid w:val="00945FAC"/>
    <w:rsid w:val="00947FD4"/>
    <w:rsid w:val="00953240"/>
    <w:rsid w:val="00963793"/>
    <w:rsid w:val="00994329"/>
    <w:rsid w:val="009A679E"/>
    <w:rsid w:val="009C1687"/>
    <w:rsid w:val="009F7861"/>
    <w:rsid w:val="00A000C9"/>
    <w:rsid w:val="00A55BB2"/>
    <w:rsid w:val="00A7611C"/>
    <w:rsid w:val="00A93F96"/>
    <w:rsid w:val="00AA21FE"/>
    <w:rsid w:val="00AB26D7"/>
    <w:rsid w:val="00AC4294"/>
    <w:rsid w:val="00AC5C6F"/>
    <w:rsid w:val="00AD22B9"/>
    <w:rsid w:val="00B42583"/>
    <w:rsid w:val="00B448A8"/>
    <w:rsid w:val="00B51DF9"/>
    <w:rsid w:val="00B60476"/>
    <w:rsid w:val="00B76DB6"/>
    <w:rsid w:val="00B773C2"/>
    <w:rsid w:val="00BA1F80"/>
    <w:rsid w:val="00BA5C60"/>
    <w:rsid w:val="00BB481C"/>
    <w:rsid w:val="00BC6C32"/>
    <w:rsid w:val="00BF79D4"/>
    <w:rsid w:val="00C0397D"/>
    <w:rsid w:val="00C111F7"/>
    <w:rsid w:val="00C56A38"/>
    <w:rsid w:val="00C701C4"/>
    <w:rsid w:val="00C70B83"/>
    <w:rsid w:val="00CC6360"/>
    <w:rsid w:val="00CC7B27"/>
    <w:rsid w:val="00CD17BB"/>
    <w:rsid w:val="00CD269D"/>
    <w:rsid w:val="00D23451"/>
    <w:rsid w:val="00D36566"/>
    <w:rsid w:val="00D765C8"/>
    <w:rsid w:val="00D85F2B"/>
    <w:rsid w:val="00D87BE5"/>
    <w:rsid w:val="00D931D2"/>
    <w:rsid w:val="00DB59C0"/>
    <w:rsid w:val="00DC0C2D"/>
    <w:rsid w:val="00DD3821"/>
    <w:rsid w:val="00DE14CF"/>
    <w:rsid w:val="00DE3C5B"/>
    <w:rsid w:val="00DF307E"/>
    <w:rsid w:val="00E07DBE"/>
    <w:rsid w:val="00E41446"/>
    <w:rsid w:val="00E71BB9"/>
    <w:rsid w:val="00E964C5"/>
    <w:rsid w:val="00EC0BB3"/>
    <w:rsid w:val="00ED2D66"/>
    <w:rsid w:val="00EE2CDB"/>
    <w:rsid w:val="00EE53DC"/>
    <w:rsid w:val="00F00A65"/>
    <w:rsid w:val="00F26542"/>
    <w:rsid w:val="00F277E0"/>
    <w:rsid w:val="00F35845"/>
    <w:rsid w:val="00F53D9B"/>
    <w:rsid w:val="00F71C75"/>
    <w:rsid w:val="00F867CF"/>
    <w:rsid w:val="00F94748"/>
    <w:rsid w:val="00FA3F67"/>
    <w:rsid w:val="00FC4344"/>
    <w:rsid w:val="00FE5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83F0"/>
  <w15:chartTrackingRefBased/>
  <w15:docId w15:val="{C8C3F58C-A9C4-4D03-9D76-41B1B2CE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2F1"/>
    <w:pPr>
      <w:ind w:left="720"/>
      <w:contextualSpacing/>
    </w:pPr>
  </w:style>
  <w:style w:type="table" w:styleId="TableGrid">
    <w:name w:val="Table Grid"/>
    <w:basedOn w:val="TableNormal"/>
    <w:uiPriority w:val="39"/>
    <w:rsid w:val="00EE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09B3"/>
    <w:pPr>
      <w:spacing w:before="100" w:beforeAutospacing="1" w:after="100" w:afterAutospacing="1" w:line="240" w:lineRule="auto"/>
    </w:pPr>
    <w:rPr>
      <w:rFonts w:ascii="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094">
      <w:bodyDiv w:val="1"/>
      <w:marLeft w:val="0"/>
      <w:marRight w:val="0"/>
      <w:marTop w:val="0"/>
      <w:marBottom w:val="0"/>
      <w:divBdr>
        <w:top w:val="none" w:sz="0" w:space="0" w:color="auto"/>
        <w:left w:val="none" w:sz="0" w:space="0" w:color="auto"/>
        <w:bottom w:val="none" w:sz="0" w:space="0" w:color="auto"/>
        <w:right w:val="none" w:sz="0" w:space="0" w:color="auto"/>
      </w:divBdr>
    </w:div>
    <w:div w:id="96601403">
      <w:bodyDiv w:val="1"/>
      <w:marLeft w:val="0"/>
      <w:marRight w:val="0"/>
      <w:marTop w:val="0"/>
      <w:marBottom w:val="0"/>
      <w:divBdr>
        <w:top w:val="none" w:sz="0" w:space="0" w:color="auto"/>
        <w:left w:val="none" w:sz="0" w:space="0" w:color="auto"/>
        <w:bottom w:val="none" w:sz="0" w:space="0" w:color="auto"/>
        <w:right w:val="none" w:sz="0" w:space="0" w:color="auto"/>
      </w:divBdr>
    </w:div>
    <w:div w:id="160198684">
      <w:bodyDiv w:val="1"/>
      <w:marLeft w:val="0"/>
      <w:marRight w:val="0"/>
      <w:marTop w:val="0"/>
      <w:marBottom w:val="0"/>
      <w:divBdr>
        <w:top w:val="none" w:sz="0" w:space="0" w:color="auto"/>
        <w:left w:val="none" w:sz="0" w:space="0" w:color="auto"/>
        <w:bottom w:val="none" w:sz="0" w:space="0" w:color="auto"/>
        <w:right w:val="none" w:sz="0" w:space="0" w:color="auto"/>
      </w:divBdr>
    </w:div>
    <w:div w:id="760225096">
      <w:bodyDiv w:val="1"/>
      <w:marLeft w:val="0"/>
      <w:marRight w:val="0"/>
      <w:marTop w:val="0"/>
      <w:marBottom w:val="0"/>
      <w:divBdr>
        <w:top w:val="none" w:sz="0" w:space="0" w:color="auto"/>
        <w:left w:val="none" w:sz="0" w:space="0" w:color="auto"/>
        <w:bottom w:val="none" w:sz="0" w:space="0" w:color="auto"/>
        <w:right w:val="none" w:sz="0" w:space="0" w:color="auto"/>
      </w:divBdr>
    </w:div>
    <w:div w:id="828599553">
      <w:bodyDiv w:val="1"/>
      <w:marLeft w:val="0"/>
      <w:marRight w:val="0"/>
      <w:marTop w:val="0"/>
      <w:marBottom w:val="0"/>
      <w:divBdr>
        <w:top w:val="none" w:sz="0" w:space="0" w:color="auto"/>
        <w:left w:val="none" w:sz="0" w:space="0" w:color="auto"/>
        <w:bottom w:val="none" w:sz="0" w:space="0" w:color="auto"/>
        <w:right w:val="none" w:sz="0" w:space="0" w:color="auto"/>
      </w:divBdr>
    </w:div>
    <w:div w:id="1045570250">
      <w:bodyDiv w:val="1"/>
      <w:marLeft w:val="0"/>
      <w:marRight w:val="0"/>
      <w:marTop w:val="0"/>
      <w:marBottom w:val="0"/>
      <w:divBdr>
        <w:top w:val="none" w:sz="0" w:space="0" w:color="auto"/>
        <w:left w:val="none" w:sz="0" w:space="0" w:color="auto"/>
        <w:bottom w:val="none" w:sz="0" w:space="0" w:color="auto"/>
        <w:right w:val="none" w:sz="0" w:space="0" w:color="auto"/>
      </w:divBdr>
      <w:divsChild>
        <w:div w:id="1994486282">
          <w:marLeft w:val="0"/>
          <w:marRight w:val="0"/>
          <w:marTop w:val="0"/>
          <w:marBottom w:val="0"/>
          <w:divBdr>
            <w:top w:val="none" w:sz="0" w:space="0" w:color="auto"/>
            <w:left w:val="none" w:sz="0" w:space="0" w:color="auto"/>
            <w:bottom w:val="none" w:sz="0" w:space="0" w:color="auto"/>
            <w:right w:val="none" w:sz="0" w:space="0" w:color="auto"/>
          </w:divBdr>
          <w:divsChild>
            <w:div w:id="659193474">
              <w:marLeft w:val="0"/>
              <w:marRight w:val="0"/>
              <w:marTop w:val="0"/>
              <w:marBottom w:val="0"/>
              <w:divBdr>
                <w:top w:val="none" w:sz="0" w:space="0" w:color="auto"/>
                <w:left w:val="none" w:sz="0" w:space="0" w:color="auto"/>
                <w:bottom w:val="none" w:sz="0" w:space="0" w:color="auto"/>
                <w:right w:val="none" w:sz="0" w:space="0" w:color="auto"/>
              </w:divBdr>
              <w:divsChild>
                <w:div w:id="1639187160">
                  <w:marLeft w:val="0"/>
                  <w:marRight w:val="0"/>
                  <w:marTop w:val="0"/>
                  <w:marBottom w:val="0"/>
                  <w:divBdr>
                    <w:top w:val="none" w:sz="0" w:space="0" w:color="auto"/>
                    <w:left w:val="none" w:sz="0" w:space="0" w:color="auto"/>
                    <w:bottom w:val="none" w:sz="0" w:space="0" w:color="auto"/>
                    <w:right w:val="none" w:sz="0" w:space="0" w:color="auto"/>
                  </w:divBdr>
                  <w:divsChild>
                    <w:div w:id="2079546574">
                      <w:marLeft w:val="120"/>
                      <w:marRight w:val="120"/>
                      <w:marTop w:val="60"/>
                      <w:marBottom w:val="75"/>
                      <w:divBdr>
                        <w:top w:val="none" w:sz="0" w:space="0" w:color="auto"/>
                        <w:left w:val="none" w:sz="0" w:space="0" w:color="auto"/>
                        <w:bottom w:val="none" w:sz="0" w:space="0" w:color="auto"/>
                        <w:right w:val="none" w:sz="0" w:space="0" w:color="auto"/>
                      </w:divBdr>
                      <w:divsChild>
                        <w:div w:id="17310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6250">
          <w:marLeft w:val="0"/>
          <w:marRight w:val="0"/>
          <w:marTop w:val="0"/>
          <w:marBottom w:val="0"/>
          <w:divBdr>
            <w:top w:val="none" w:sz="0" w:space="0" w:color="auto"/>
            <w:left w:val="none" w:sz="0" w:space="0" w:color="auto"/>
            <w:bottom w:val="none" w:sz="0" w:space="0" w:color="auto"/>
            <w:right w:val="none" w:sz="0" w:space="0" w:color="auto"/>
          </w:divBdr>
          <w:divsChild>
            <w:div w:id="1077168533">
              <w:marLeft w:val="0"/>
              <w:marRight w:val="0"/>
              <w:marTop w:val="0"/>
              <w:marBottom w:val="0"/>
              <w:divBdr>
                <w:top w:val="none" w:sz="0" w:space="0" w:color="auto"/>
                <w:left w:val="none" w:sz="0" w:space="0" w:color="auto"/>
                <w:bottom w:val="none" w:sz="0" w:space="0" w:color="auto"/>
                <w:right w:val="none" w:sz="0" w:space="0" w:color="auto"/>
              </w:divBdr>
              <w:divsChild>
                <w:div w:id="1406992516">
                  <w:marLeft w:val="0"/>
                  <w:marRight w:val="0"/>
                  <w:marTop w:val="0"/>
                  <w:marBottom w:val="0"/>
                  <w:divBdr>
                    <w:top w:val="none" w:sz="0" w:space="0" w:color="auto"/>
                    <w:left w:val="none" w:sz="0" w:space="0" w:color="auto"/>
                    <w:bottom w:val="none" w:sz="0" w:space="0" w:color="auto"/>
                    <w:right w:val="none" w:sz="0" w:space="0" w:color="auto"/>
                  </w:divBdr>
                  <w:divsChild>
                    <w:div w:id="1286429347">
                      <w:marLeft w:val="120"/>
                      <w:marRight w:val="120"/>
                      <w:marTop w:val="60"/>
                      <w:marBottom w:val="75"/>
                      <w:divBdr>
                        <w:top w:val="none" w:sz="0" w:space="0" w:color="auto"/>
                        <w:left w:val="none" w:sz="0" w:space="0" w:color="auto"/>
                        <w:bottom w:val="none" w:sz="0" w:space="0" w:color="auto"/>
                        <w:right w:val="none" w:sz="0" w:space="0" w:color="auto"/>
                      </w:divBdr>
                      <w:divsChild>
                        <w:div w:id="4158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6517">
          <w:marLeft w:val="0"/>
          <w:marRight w:val="0"/>
          <w:marTop w:val="0"/>
          <w:marBottom w:val="0"/>
          <w:divBdr>
            <w:top w:val="none" w:sz="0" w:space="0" w:color="auto"/>
            <w:left w:val="none" w:sz="0" w:space="0" w:color="auto"/>
            <w:bottom w:val="none" w:sz="0" w:space="0" w:color="auto"/>
            <w:right w:val="none" w:sz="0" w:space="0" w:color="auto"/>
          </w:divBdr>
          <w:divsChild>
            <w:div w:id="1649363631">
              <w:marLeft w:val="0"/>
              <w:marRight w:val="0"/>
              <w:marTop w:val="0"/>
              <w:marBottom w:val="0"/>
              <w:divBdr>
                <w:top w:val="none" w:sz="0" w:space="0" w:color="auto"/>
                <w:left w:val="none" w:sz="0" w:space="0" w:color="auto"/>
                <w:bottom w:val="none" w:sz="0" w:space="0" w:color="auto"/>
                <w:right w:val="none" w:sz="0" w:space="0" w:color="auto"/>
              </w:divBdr>
              <w:divsChild>
                <w:div w:id="1343241743">
                  <w:marLeft w:val="0"/>
                  <w:marRight w:val="0"/>
                  <w:marTop w:val="0"/>
                  <w:marBottom w:val="0"/>
                  <w:divBdr>
                    <w:top w:val="none" w:sz="0" w:space="0" w:color="auto"/>
                    <w:left w:val="none" w:sz="0" w:space="0" w:color="auto"/>
                    <w:bottom w:val="none" w:sz="0" w:space="0" w:color="auto"/>
                    <w:right w:val="none" w:sz="0" w:space="0" w:color="auto"/>
                  </w:divBdr>
                  <w:divsChild>
                    <w:div w:id="106530314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094324693">
      <w:bodyDiv w:val="1"/>
      <w:marLeft w:val="0"/>
      <w:marRight w:val="0"/>
      <w:marTop w:val="0"/>
      <w:marBottom w:val="0"/>
      <w:divBdr>
        <w:top w:val="none" w:sz="0" w:space="0" w:color="auto"/>
        <w:left w:val="none" w:sz="0" w:space="0" w:color="auto"/>
        <w:bottom w:val="none" w:sz="0" w:space="0" w:color="auto"/>
        <w:right w:val="none" w:sz="0" w:space="0" w:color="auto"/>
      </w:divBdr>
    </w:div>
    <w:div w:id="1575891122">
      <w:bodyDiv w:val="1"/>
      <w:marLeft w:val="0"/>
      <w:marRight w:val="0"/>
      <w:marTop w:val="0"/>
      <w:marBottom w:val="0"/>
      <w:divBdr>
        <w:top w:val="none" w:sz="0" w:space="0" w:color="auto"/>
        <w:left w:val="none" w:sz="0" w:space="0" w:color="auto"/>
        <w:bottom w:val="none" w:sz="0" w:space="0" w:color="auto"/>
        <w:right w:val="none" w:sz="0" w:space="0" w:color="auto"/>
      </w:divBdr>
    </w:div>
    <w:div w:id="17700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kbb</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Goliba Inogamova</dc:creator>
  <cp:keywords/>
  <dc:description/>
  <cp:lastModifiedBy>Dilafruz Ernapasova</cp:lastModifiedBy>
  <cp:revision>2</cp:revision>
  <dcterms:created xsi:type="dcterms:W3CDTF">2026-01-30T03:43:00Z</dcterms:created>
  <dcterms:modified xsi:type="dcterms:W3CDTF">2026-01-30T03:43:00Z</dcterms:modified>
</cp:coreProperties>
</file>