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0791"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b/>
          <w:bCs/>
          <w:sz w:val="24"/>
          <w:szCs w:val="24"/>
          <w:lang w:val="en-US" w:eastAsia="en-US"/>
        </w:rPr>
        <w:t>Deposit Guarantee</w:t>
      </w:r>
    </w:p>
    <w:p w14:paraId="5A34EF42" w14:textId="27DBE0D8"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Deposits placed with commercial banks of the Republic of Uzbekistan are protected by the state. Their repayment is guaranteed </w:t>
      </w:r>
      <w:r w:rsidR="00697FCF">
        <w:rPr>
          <w:rFonts w:ascii="Arial" w:eastAsia="Times New Roman" w:hAnsi="Arial" w:cs="Arial"/>
          <w:sz w:val="24"/>
          <w:szCs w:val="24"/>
          <w:lang w:val="en-US" w:eastAsia="en-US"/>
        </w:rPr>
        <w:t>under</w:t>
      </w:r>
      <w:r w:rsidRPr="004E6C18">
        <w:rPr>
          <w:rFonts w:ascii="Arial" w:eastAsia="Times New Roman" w:hAnsi="Arial" w:cs="Arial"/>
          <w:sz w:val="24"/>
          <w:szCs w:val="24"/>
          <w:lang w:val="en-US" w:eastAsia="en-US"/>
        </w:rPr>
        <w:t xml:space="preserve"> the Law of the Republic of Uzbekistan “</w:t>
      </w:r>
      <w:r w:rsidRPr="00AC6644">
        <w:rPr>
          <w:rFonts w:ascii="Arial" w:eastAsia="Times New Roman" w:hAnsi="Arial" w:cs="Arial"/>
          <w:color w:val="2F5496" w:themeColor="accent1" w:themeShade="BF"/>
          <w:sz w:val="24"/>
          <w:szCs w:val="24"/>
          <w:lang w:val="en-US" w:eastAsia="en-US"/>
        </w:rPr>
        <w:t>On Guarantees for the Protection of Deposits in Banks</w:t>
      </w:r>
      <w:r w:rsidRPr="004E6C18">
        <w:rPr>
          <w:rFonts w:ascii="Arial" w:eastAsia="Times New Roman" w:hAnsi="Arial" w:cs="Arial"/>
          <w:sz w:val="24"/>
          <w:szCs w:val="24"/>
          <w:lang w:val="en-US" w:eastAsia="en-US"/>
        </w:rPr>
        <w:t>”</w:t>
      </w:r>
      <w:r w:rsidR="00697FCF" w:rsidRPr="00697FCF">
        <w:rPr>
          <w:rFonts w:ascii="Arial" w:eastAsia="Times New Roman" w:hAnsi="Arial" w:cs="Arial"/>
          <w:sz w:val="24"/>
          <w:szCs w:val="24"/>
          <w:lang w:val="en-US" w:eastAsia="en-US"/>
        </w:rPr>
        <w:t xml:space="preserve"> </w:t>
      </w:r>
      <w:r w:rsidR="00697FCF" w:rsidRPr="004E6C18">
        <w:rPr>
          <w:rFonts w:ascii="Arial" w:eastAsia="Times New Roman" w:hAnsi="Arial" w:cs="Arial"/>
          <w:sz w:val="24"/>
          <w:szCs w:val="24"/>
          <w:lang w:val="en-US" w:eastAsia="en-US"/>
        </w:rPr>
        <w:t>(No. ZRU-1031 dated 18 February 2025)</w:t>
      </w:r>
      <w:r w:rsidR="00697FCF">
        <w:rPr>
          <w:rFonts w:ascii="Arial" w:eastAsia="Times New Roman" w:hAnsi="Arial" w:cs="Arial"/>
          <w:sz w:val="24"/>
          <w:szCs w:val="24"/>
          <w:lang w:val="en-US" w:eastAsia="en-US"/>
        </w:rPr>
        <w:t>.</w:t>
      </w:r>
    </w:p>
    <w:p w14:paraId="3BCBAFE9" w14:textId="104B8CD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Below is an overview of the key provisions of the Law, </w:t>
      </w:r>
      <w:r w:rsidR="00697FCF">
        <w:rPr>
          <w:rFonts w:ascii="Arial" w:eastAsia="Times New Roman" w:hAnsi="Arial" w:cs="Arial"/>
          <w:sz w:val="24"/>
          <w:szCs w:val="24"/>
          <w:lang w:val="en-US" w:eastAsia="en-US"/>
        </w:rPr>
        <w:t>reflecting</w:t>
      </w:r>
      <w:r w:rsidRPr="004E6C18">
        <w:rPr>
          <w:rFonts w:ascii="Arial" w:eastAsia="Times New Roman" w:hAnsi="Arial" w:cs="Arial"/>
          <w:sz w:val="24"/>
          <w:szCs w:val="24"/>
          <w:lang w:val="en-US" w:eastAsia="en-US"/>
        </w:rPr>
        <w:t xml:space="preserve"> the current procedure</w:t>
      </w:r>
      <w:r w:rsidR="00697FCF">
        <w:rPr>
          <w:rFonts w:ascii="Arial" w:eastAsia="Times New Roman" w:hAnsi="Arial" w:cs="Arial"/>
          <w:sz w:val="24"/>
          <w:szCs w:val="24"/>
          <w:lang w:val="en-US" w:eastAsia="en-US"/>
        </w:rPr>
        <w:t>s</w:t>
      </w:r>
      <w:r w:rsidRPr="004E6C18">
        <w:rPr>
          <w:rFonts w:ascii="Arial" w:eastAsia="Times New Roman" w:hAnsi="Arial" w:cs="Arial"/>
          <w:sz w:val="24"/>
          <w:szCs w:val="24"/>
          <w:lang w:val="en-US" w:eastAsia="en-US"/>
        </w:rPr>
        <w:t xml:space="preserve"> and clarifications applicable to both individuals and legal entities.</w:t>
      </w:r>
    </w:p>
    <w:p w14:paraId="10285DEE" w14:textId="276CBDE0"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b/>
          <w:bCs/>
          <w:sz w:val="24"/>
          <w:szCs w:val="24"/>
          <w:lang w:val="en-US" w:eastAsia="en-US"/>
        </w:rPr>
        <w:t>Who is covered by the state guarantee?</w:t>
      </w:r>
    </w:p>
    <w:p w14:paraId="77A83698"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The state deposit guarantee system applies to deposits of:</w:t>
      </w:r>
    </w:p>
    <w:p w14:paraId="0B435BD5" w14:textId="77777777" w:rsidR="004E6C18" w:rsidRPr="004E6C18" w:rsidRDefault="004E6C18" w:rsidP="004E6C18">
      <w:pPr>
        <w:numPr>
          <w:ilvl w:val="0"/>
          <w:numId w:val="11"/>
        </w:num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individuals (citizens, including non-residents);</w:t>
      </w:r>
    </w:p>
    <w:p w14:paraId="3226C289" w14:textId="77777777" w:rsidR="004E6C18" w:rsidRPr="004E6C18" w:rsidRDefault="004E6C18" w:rsidP="004E6C18">
      <w:pPr>
        <w:numPr>
          <w:ilvl w:val="0"/>
          <w:numId w:val="11"/>
        </w:num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individual entrepreneurs;</w:t>
      </w:r>
    </w:p>
    <w:p w14:paraId="1401D88A" w14:textId="77777777" w:rsidR="004E6C18" w:rsidRPr="004E6C18" w:rsidRDefault="004E6C18" w:rsidP="004E6C18">
      <w:pPr>
        <w:numPr>
          <w:ilvl w:val="0"/>
          <w:numId w:val="11"/>
        </w:num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legal entities.</w:t>
      </w:r>
    </w:p>
    <w:p w14:paraId="25DCE6A6" w14:textId="140CC414"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Protection extends to funds placed with commercial banks in</w:t>
      </w:r>
      <w:r w:rsidR="00697FCF" w:rsidRPr="00697FCF">
        <w:rPr>
          <w:rFonts w:ascii="Arial" w:eastAsia="Times New Roman" w:hAnsi="Arial" w:cs="Arial"/>
          <w:sz w:val="24"/>
          <w:szCs w:val="24"/>
          <w:lang w:val="en-US" w:eastAsia="en-US"/>
        </w:rPr>
        <w:t xml:space="preserve"> </w:t>
      </w:r>
      <w:r w:rsidR="00697FCF" w:rsidRPr="004E6C18">
        <w:rPr>
          <w:rFonts w:ascii="Arial" w:eastAsia="Times New Roman" w:hAnsi="Arial" w:cs="Arial"/>
          <w:sz w:val="24"/>
          <w:szCs w:val="24"/>
          <w:lang w:val="en-US" w:eastAsia="en-US"/>
        </w:rPr>
        <w:t>the Republic of</w:t>
      </w:r>
      <w:r w:rsidRPr="004E6C18">
        <w:rPr>
          <w:rFonts w:ascii="Arial" w:eastAsia="Times New Roman" w:hAnsi="Arial" w:cs="Arial"/>
          <w:sz w:val="24"/>
          <w:szCs w:val="24"/>
          <w:lang w:val="en-US" w:eastAsia="en-US"/>
        </w:rPr>
        <w:t xml:space="preserve"> Uzbekistan</w:t>
      </w:r>
      <w:r w:rsidR="00697FCF">
        <w:rPr>
          <w:rFonts w:ascii="Arial" w:eastAsia="Times New Roman" w:hAnsi="Arial" w:cs="Arial"/>
          <w:sz w:val="24"/>
          <w:szCs w:val="24"/>
          <w:lang w:val="en-US" w:eastAsia="en-US"/>
        </w:rPr>
        <w:t xml:space="preserve"> in</w:t>
      </w:r>
      <w:r w:rsidRPr="004E6C18">
        <w:rPr>
          <w:rFonts w:ascii="Arial" w:eastAsia="Times New Roman" w:hAnsi="Arial" w:cs="Arial"/>
          <w:sz w:val="24"/>
          <w:szCs w:val="24"/>
          <w:lang w:val="en-US" w:eastAsia="en-US"/>
        </w:rPr>
        <w:t xml:space="preserve"> both the national currency (Uzbek </w:t>
      </w:r>
      <w:proofErr w:type="spellStart"/>
      <w:r w:rsidRPr="004E6C18">
        <w:rPr>
          <w:rFonts w:ascii="Arial" w:eastAsia="Times New Roman" w:hAnsi="Arial" w:cs="Arial"/>
          <w:sz w:val="24"/>
          <w:szCs w:val="24"/>
          <w:lang w:val="en-US" w:eastAsia="en-US"/>
        </w:rPr>
        <w:t>soum</w:t>
      </w:r>
      <w:proofErr w:type="spellEnd"/>
      <w:r w:rsidRPr="004E6C18">
        <w:rPr>
          <w:rFonts w:ascii="Arial" w:eastAsia="Times New Roman" w:hAnsi="Arial" w:cs="Arial"/>
          <w:sz w:val="24"/>
          <w:szCs w:val="24"/>
          <w:lang w:val="en-US" w:eastAsia="en-US"/>
        </w:rPr>
        <w:t>) and foreign currenc</w:t>
      </w:r>
      <w:r w:rsidR="00697FCF">
        <w:rPr>
          <w:rFonts w:ascii="Arial" w:eastAsia="Times New Roman" w:hAnsi="Arial" w:cs="Arial"/>
          <w:sz w:val="24"/>
          <w:szCs w:val="24"/>
          <w:lang w:val="en-US" w:eastAsia="en-US"/>
        </w:rPr>
        <w:t>ies</w:t>
      </w:r>
      <w:r w:rsidRPr="004E6C18">
        <w:rPr>
          <w:rFonts w:ascii="Arial" w:eastAsia="Times New Roman" w:hAnsi="Arial" w:cs="Arial"/>
          <w:sz w:val="24"/>
          <w:szCs w:val="24"/>
          <w:lang w:val="en-US" w:eastAsia="en-US"/>
        </w:rPr>
        <w:t>.</w:t>
      </w:r>
    </w:p>
    <w:p w14:paraId="268930D8" w14:textId="55681E0E"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Which deposits are subject to guarantee?</w:t>
      </w:r>
    </w:p>
    <w:p w14:paraId="78238D55"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The following are considered guaranteed objects:</w:t>
      </w:r>
    </w:p>
    <w:p w14:paraId="06F1DEEF" w14:textId="5BC1BD7E" w:rsidR="004E6C18" w:rsidRPr="004E6C18" w:rsidRDefault="004E6C18" w:rsidP="005F2996">
      <w:pPr>
        <w:numPr>
          <w:ilvl w:val="0"/>
          <w:numId w:val="12"/>
        </w:numPr>
        <w:tabs>
          <w:tab w:val="clear" w:pos="720"/>
          <w:tab w:val="num" w:pos="36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funds under a bank deposit agreement or bank account agreement;</w:t>
      </w:r>
    </w:p>
    <w:p w14:paraId="08021D6B" w14:textId="75C8ADEC" w:rsidR="004E6C18" w:rsidRPr="004E6C18" w:rsidRDefault="004E6C18" w:rsidP="005F2996">
      <w:pPr>
        <w:numPr>
          <w:ilvl w:val="0"/>
          <w:numId w:val="12"/>
        </w:numPr>
        <w:tabs>
          <w:tab w:val="clear" w:pos="720"/>
          <w:tab w:val="num" w:pos="36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funds held on separate accounts </w:t>
      </w:r>
      <w:r w:rsidR="00697FCF">
        <w:rPr>
          <w:rFonts w:ascii="Arial" w:eastAsia="Times New Roman" w:hAnsi="Arial" w:cs="Arial"/>
          <w:sz w:val="24"/>
          <w:szCs w:val="24"/>
          <w:lang w:val="en-US" w:eastAsia="en-US"/>
        </w:rPr>
        <w:t xml:space="preserve">pending fulfillment of </w:t>
      </w:r>
      <w:r w:rsidRPr="004E6C18">
        <w:rPr>
          <w:rFonts w:ascii="Arial" w:eastAsia="Times New Roman" w:hAnsi="Arial" w:cs="Arial"/>
          <w:sz w:val="24"/>
          <w:szCs w:val="24"/>
          <w:lang w:val="en-US" w:eastAsia="en-US"/>
        </w:rPr>
        <w:t>the agreement</w:t>
      </w:r>
      <w:r w:rsidR="00697FCF">
        <w:rPr>
          <w:rFonts w:ascii="Arial" w:eastAsia="Times New Roman" w:hAnsi="Arial" w:cs="Arial"/>
          <w:sz w:val="24"/>
          <w:szCs w:val="24"/>
          <w:lang w:val="en-US" w:eastAsia="en-US"/>
        </w:rPr>
        <w:t xml:space="preserve">’s conditions </w:t>
      </w:r>
      <w:r w:rsidRPr="004E6C18">
        <w:rPr>
          <w:rFonts w:ascii="Arial" w:eastAsia="Times New Roman" w:hAnsi="Arial" w:cs="Arial"/>
          <w:sz w:val="24"/>
          <w:szCs w:val="24"/>
          <w:lang w:val="en-US" w:eastAsia="en-US"/>
        </w:rPr>
        <w:t xml:space="preserve">(including escrow </w:t>
      </w:r>
      <w:r w:rsidR="00697FCF">
        <w:rPr>
          <w:rFonts w:ascii="Arial" w:eastAsia="Times New Roman" w:hAnsi="Arial" w:cs="Arial"/>
          <w:sz w:val="24"/>
          <w:szCs w:val="24"/>
          <w:lang w:val="en-US" w:eastAsia="en-US"/>
        </w:rPr>
        <w:t>arrangements</w:t>
      </w:r>
      <w:r w:rsidRPr="004E6C18">
        <w:rPr>
          <w:rFonts w:ascii="Arial" w:eastAsia="Times New Roman" w:hAnsi="Arial" w:cs="Arial"/>
          <w:sz w:val="24"/>
          <w:szCs w:val="24"/>
          <w:lang w:val="en-US" w:eastAsia="en-US"/>
        </w:rPr>
        <w:t>);</w:t>
      </w:r>
    </w:p>
    <w:p w14:paraId="542F33E3" w14:textId="77777777" w:rsidR="004E6C18" w:rsidRPr="004E6C18" w:rsidRDefault="004E6C18" w:rsidP="005F2996">
      <w:pPr>
        <w:numPr>
          <w:ilvl w:val="0"/>
          <w:numId w:val="12"/>
        </w:numPr>
        <w:tabs>
          <w:tab w:val="clear" w:pos="720"/>
          <w:tab w:val="num" w:pos="36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amounts certified by savings (deposit) certificates;</w:t>
      </w:r>
    </w:p>
    <w:p w14:paraId="31E67723" w14:textId="4E8A2201" w:rsidR="004E6C18" w:rsidRPr="004E6C18" w:rsidRDefault="004E6C18" w:rsidP="005F2996">
      <w:pPr>
        <w:numPr>
          <w:ilvl w:val="0"/>
          <w:numId w:val="12"/>
        </w:numPr>
        <w:tabs>
          <w:tab w:val="clear" w:pos="720"/>
          <w:tab w:val="num" w:pos="36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accrued but </w:t>
      </w:r>
      <w:r w:rsidR="00697FCF">
        <w:rPr>
          <w:rFonts w:ascii="Arial" w:eastAsia="Times New Roman" w:hAnsi="Arial" w:cs="Arial"/>
          <w:sz w:val="24"/>
          <w:szCs w:val="24"/>
          <w:lang w:val="en-US" w:eastAsia="en-US"/>
        </w:rPr>
        <w:t>un</w:t>
      </w:r>
      <w:r w:rsidRPr="004E6C18">
        <w:rPr>
          <w:rFonts w:ascii="Arial" w:eastAsia="Times New Roman" w:hAnsi="Arial" w:cs="Arial"/>
          <w:sz w:val="24"/>
          <w:szCs w:val="24"/>
          <w:lang w:val="en-US" w:eastAsia="en-US"/>
        </w:rPr>
        <w:t>paid</w:t>
      </w:r>
      <w:r w:rsidR="00697FCF">
        <w:rPr>
          <w:rFonts w:ascii="Arial" w:eastAsia="Times New Roman" w:hAnsi="Arial" w:cs="Arial"/>
          <w:sz w:val="24"/>
          <w:szCs w:val="24"/>
          <w:lang w:val="en-US" w:eastAsia="en-US"/>
        </w:rPr>
        <w:t xml:space="preserve"> interest</w:t>
      </w:r>
      <w:r w:rsidRPr="004E6C18">
        <w:rPr>
          <w:rFonts w:ascii="Arial" w:eastAsia="Times New Roman" w:hAnsi="Arial" w:cs="Arial"/>
          <w:sz w:val="24"/>
          <w:szCs w:val="24"/>
          <w:lang w:val="en-US" w:eastAsia="en-US"/>
        </w:rPr>
        <w:t xml:space="preserve"> as of the date of the insured event</w:t>
      </w:r>
      <w:r w:rsidR="00697FCF">
        <w:rPr>
          <w:rFonts w:ascii="Arial" w:eastAsia="Times New Roman" w:hAnsi="Arial" w:cs="Arial"/>
          <w:sz w:val="24"/>
          <w:szCs w:val="24"/>
          <w:lang w:val="en-US" w:eastAsia="en-US"/>
        </w:rPr>
        <w:t xml:space="preserve">, </w:t>
      </w:r>
      <w:r w:rsidRPr="004E6C18">
        <w:rPr>
          <w:rFonts w:ascii="Arial" w:eastAsia="Times New Roman" w:hAnsi="Arial" w:cs="Arial"/>
          <w:sz w:val="24"/>
          <w:szCs w:val="24"/>
          <w:lang w:val="en-US" w:eastAsia="en-US"/>
        </w:rPr>
        <w:t>provided the accrual is stipulated in the agreement or certificate.</w:t>
      </w:r>
    </w:p>
    <w:p w14:paraId="70081721" w14:textId="507B9BC9"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Which Funds Are Not Considered Guaranteed Deposits?</w:t>
      </w:r>
    </w:p>
    <w:p w14:paraId="016C4148"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The Law explicitly establishes a list of objects that are not subject to guarantee. These include, in particular:</w:t>
      </w:r>
    </w:p>
    <w:p w14:paraId="31111709" w14:textId="78F43367" w:rsidR="004E6C18" w:rsidRPr="004E6C18" w:rsidRDefault="004E6C18" w:rsidP="005F2996">
      <w:pPr>
        <w:numPr>
          <w:ilvl w:val="0"/>
          <w:numId w:val="13"/>
        </w:numPr>
        <w:tabs>
          <w:tab w:val="clear" w:pos="720"/>
          <w:tab w:val="num" w:pos="45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deposits of banks, non-bank credit institutions, insurance companies, leasing companies, investment</w:t>
      </w:r>
      <w:r w:rsidR="00697FCF">
        <w:rPr>
          <w:rFonts w:ascii="Arial" w:eastAsia="Times New Roman" w:hAnsi="Arial" w:cs="Arial"/>
          <w:sz w:val="24"/>
          <w:szCs w:val="24"/>
          <w:lang w:val="en-US" w:eastAsia="en-US"/>
        </w:rPr>
        <w:t xml:space="preserve">, </w:t>
      </w:r>
      <w:r w:rsidRPr="004E6C18">
        <w:rPr>
          <w:rFonts w:ascii="Arial" w:eastAsia="Times New Roman" w:hAnsi="Arial" w:cs="Arial"/>
          <w:sz w:val="24"/>
          <w:szCs w:val="24"/>
          <w:lang w:val="en-US" w:eastAsia="en-US"/>
        </w:rPr>
        <w:t>mutual funds, as well as other licensed financial organizations;</w:t>
      </w:r>
    </w:p>
    <w:p w14:paraId="77AD90BB" w14:textId="77777777" w:rsidR="004E6C18" w:rsidRPr="004E6C18" w:rsidRDefault="004E6C18" w:rsidP="005F2996">
      <w:pPr>
        <w:numPr>
          <w:ilvl w:val="0"/>
          <w:numId w:val="13"/>
        </w:numPr>
        <w:tabs>
          <w:tab w:val="clear" w:pos="720"/>
          <w:tab w:val="num" w:pos="45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funds of state bodies, state institutions, and state enterprises of the Republic of Uzbekistan or foreign states;</w:t>
      </w:r>
    </w:p>
    <w:p w14:paraId="589640D1" w14:textId="1F9007B7" w:rsidR="004E6C18" w:rsidRPr="004E6C18" w:rsidRDefault="004E6C18" w:rsidP="005F2996">
      <w:pPr>
        <w:numPr>
          <w:ilvl w:val="0"/>
          <w:numId w:val="13"/>
        </w:numPr>
        <w:tabs>
          <w:tab w:val="clear" w:pos="720"/>
          <w:tab w:val="num" w:pos="45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deposits of persons affiliated with the bank (except for deposits of </w:t>
      </w:r>
      <w:r w:rsidR="00697FCF" w:rsidRPr="004E6C18">
        <w:rPr>
          <w:rFonts w:ascii="Arial" w:eastAsia="Times New Roman" w:hAnsi="Arial" w:cs="Arial"/>
          <w:sz w:val="24"/>
          <w:szCs w:val="24"/>
          <w:lang w:val="en-US" w:eastAsia="en-US"/>
        </w:rPr>
        <w:t xml:space="preserve">management board </w:t>
      </w:r>
      <w:r w:rsidRPr="004E6C18">
        <w:rPr>
          <w:rFonts w:ascii="Arial" w:eastAsia="Times New Roman" w:hAnsi="Arial" w:cs="Arial"/>
          <w:sz w:val="24"/>
          <w:szCs w:val="24"/>
          <w:lang w:val="en-US" w:eastAsia="en-US"/>
        </w:rPr>
        <w:t>members and key personnel within the limits of three months’ salary and equivalent payments);</w:t>
      </w:r>
    </w:p>
    <w:p w14:paraId="1741834C" w14:textId="77777777" w:rsidR="004E6C18" w:rsidRPr="004E6C18" w:rsidRDefault="004E6C18" w:rsidP="005F2996">
      <w:pPr>
        <w:numPr>
          <w:ilvl w:val="0"/>
          <w:numId w:val="13"/>
        </w:numPr>
        <w:tabs>
          <w:tab w:val="clear" w:pos="720"/>
          <w:tab w:val="num" w:pos="45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deposits placed in foreign branches or subsidiary banks;</w:t>
      </w:r>
    </w:p>
    <w:p w14:paraId="4756A744" w14:textId="77777777" w:rsidR="004E6C18" w:rsidRPr="004E6C18" w:rsidRDefault="004E6C18" w:rsidP="005F2996">
      <w:pPr>
        <w:numPr>
          <w:ilvl w:val="0"/>
          <w:numId w:val="13"/>
        </w:numPr>
        <w:tabs>
          <w:tab w:val="clear" w:pos="720"/>
          <w:tab w:val="num" w:pos="45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accumulations on individual pension savings accounts;</w:t>
      </w:r>
    </w:p>
    <w:p w14:paraId="625BBF6E" w14:textId="12EF07B4" w:rsidR="004E6C18" w:rsidRPr="004E6C18" w:rsidRDefault="004E6C18" w:rsidP="005F2996">
      <w:pPr>
        <w:numPr>
          <w:ilvl w:val="0"/>
          <w:numId w:val="13"/>
        </w:numPr>
        <w:tabs>
          <w:tab w:val="clear" w:pos="720"/>
          <w:tab w:val="num" w:pos="450"/>
        </w:tabs>
        <w:spacing w:before="100" w:beforeAutospacing="1" w:after="100" w:afterAutospacing="1"/>
        <w:ind w:left="36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funds whose origin has been </w:t>
      </w:r>
      <w:r w:rsidR="00697FCF">
        <w:rPr>
          <w:rFonts w:ascii="Arial" w:eastAsia="Times New Roman" w:hAnsi="Arial" w:cs="Arial"/>
          <w:sz w:val="24"/>
          <w:szCs w:val="24"/>
          <w:lang w:val="en-US" w:eastAsia="en-US"/>
        </w:rPr>
        <w:t xml:space="preserve">judicially determined to derive from </w:t>
      </w:r>
      <w:r w:rsidRPr="004E6C18">
        <w:rPr>
          <w:rFonts w:ascii="Arial" w:eastAsia="Times New Roman" w:hAnsi="Arial" w:cs="Arial"/>
          <w:sz w:val="24"/>
          <w:szCs w:val="24"/>
          <w:lang w:val="en-US" w:eastAsia="en-US"/>
        </w:rPr>
        <w:t xml:space="preserve">the legalization </w:t>
      </w:r>
      <w:r w:rsidR="00697FCF" w:rsidRPr="004E6C18">
        <w:rPr>
          <w:rFonts w:ascii="Arial" w:eastAsia="Times New Roman" w:hAnsi="Arial" w:cs="Arial"/>
          <w:sz w:val="24"/>
          <w:szCs w:val="24"/>
          <w:lang w:val="en-US" w:eastAsia="en-US"/>
        </w:rPr>
        <w:t xml:space="preserve">criminal </w:t>
      </w:r>
      <w:r w:rsidRPr="004E6C18">
        <w:rPr>
          <w:rFonts w:ascii="Arial" w:eastAsia="Times New Roman" w:hAnsi="Arial" w:cs="Arial"/>
          <w:sz w:val="24"/>
          <w:szCs w:val="24"/>
          <w:lang w:val="en-US" w:eastAsia="en-US"/>
        </w:rPr>
        <w:t>proceeds, financing of terrorism, or proliferation of weapons of mass destruction.</w:t>
      </w:r>
    </w:p>
    <w:p w14:paraId="74CBD618" w14:textId="509ECCFB"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Furthermore, the following are</w:t>
      </w:r>
      <w:r w:rsidR="00697FCF">
        <w:rPr>
          <w:rFonts w:ascii="Arial" w:eastAsia="Times New Roman" w:hAnsi="Arial" w:cs="Arial"/>
          <w:sz w:val="24"/>
          <w:szCs w:val="24"/>
          <w:lang w:val="en-US" w:eastAsia="en-US"/>
        </w:rPr>
        <w:t xml:space="preserve"> also</w:t>
      </w:r>
      <w:r w:rsidRPr="004E6C18">
        <w:rPr>
          <w:rFonts w:ascii="Arial" w:eastAsia="Times New Roman" w:hAnsi="Arial" w:cs="Arial"/>
          <w:sz w:val="24"/>
          <w:szCs w:val="24"/>
          <w:lang w:val="en-US" w:eastAsia="en-US"/>
        </w:rPr>
        <w:t xml:space="preserve"> not considered deposits:</w:t>
      </w:r>
    </w:p>
    <w:p w14:paraId="4AE14F94" w14:textId="77777777" w:rsidR="004E6C18" w:rsidRPr="004E6C18" w:rsidRDefault="004E6C18" w:rsidP="005F2996">
      <w:pPr>
        <w:numPr>
          <w:ilvl w:val="0"/>
          <w:numId w:val="14"/>
        </w:numPr>
        <w:tabs>
          <w:tab w:val="clear" w:pos="720"/>
          <w:tab w:val="num" w:pos="270"/>
        </w:tabs>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shares and other instruments included in the bank’s regulatory capital;</w:t>
      </w:r>
    </w:p>
    <w:p w14:paraId="40B6BA28" w14:textId="77777777" w:rsidR="004E6C18" w:rsidRPr="004E6C18" w:rsidRDefault="004E6C18" w:rsidP="005F2996">
      <w:pPr>
        <w:numPr>
          <w:ilvl w:val="0"/>
          <w:numId w:val="14"/>
        </w:numPr>
        <w:tabs>
          <w:tab w:val="clear" w:pos="720"/>
          <w:tab w:val="num" w:pos="270"/>
        </w:tabs>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bonds, promissory notes, and other debt securities issued by the bank;</w:t>
      </w:r>
    </w:p>
    <w:p w14:paraId="3D105EC2" w14:textId="77777777" w:rsidR="004E6C18" w:rsidRPr="004E6C18" w:rsidRDefault="004E6C18" w:rsidP="005F2996">
      <w:pPr>
        <w:numPr>
          <w:ilvl w:val="0"/>
          <w:numId w:val="14"/>
        </w:numPr>
        <w:tabs>
          <w:tab w:val="clear" w:pos="720"/>
          <w:tab w:val="num" w:pos="270"/>
        </w:tabs>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lastRenderedPageBreak/>
        <w:t>subordinated obligations;</w:t>
      </w:r>
    </w:p>
    <w:p w14:paraId="3810043B" w14:textId="77777777" w:rsidR="004E6C18" w:rsidRPr="004E6C18" w:rsidRDefault="004E6C18" w:rsidP="005F2996">
      <w:pPr>
        <w:numPr>
          <w:ilvl w:val="0"/>
          <w:numId w:val="14"/>
        </w:numPr>
        <w:tabs>
          <w:tab w:val="clear" w:pos="720"/>
          <w:tab w:val="num" w:pos="270"/>
        </w:tabs>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funds held in individual bank safe deposit boxes;</w:t>
      </w:r>
    </w:p>
    <w:p w14:paraId="597F1769" w14:textId="09A94308" w:rsidR="004E6C18" w:rsidRPr="004E6C18" w:rsidRDefault="004E6C18" w:rsidP="005F2996">
      <w:pPr>
        <w:numPr>
          <w:ilvl w:val="0"/>
          <w:numId w:val="14"/>
        </w:numPr>
        <w:tabs>
          <w:tab w:val="clear" w:pos="720"/>
          <w:tab w:val="num" w:pos="270"/>
        </w:tabs>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claims </w:t>
      </w:r>
      <w:r w:rsidR="00697FCF">
        <w:rPr>
          <w:rFonts w:ascii="Arial" w:eastAsia="Times New Roman" w:hAnsi="Arial" w:cs="Arial"/>
          <w:sz w:val="24"/>
          <w:szCs w:val="24"/>
          <w:lang w:val="en-US" w:eastAsia="en-US"/>
        </w:rPr>
        <w:t>under</w:t>
      </w:r>
      <w:r w:rsidRPr="004E6C18">
        <w:rPr>
          <w:rFonts w:ascii="Arial" w:eastAsia="Times New Roman" w:hAnsi="Arial" w:cs="Arial"/>
          <w:sz w:val="24"/>
          <w:szCs w:val="24"/>
          <w:lang w:val="en-US" w:eastAsia="en-US"/>
        </w:rPr>
        <w:t xml:space="preserve"> derivative financial instruments (futures, forwards, options, swaps, </w:t>
      </w:r>
      <w:r w:rsidR="00697FCF">
        <w:rPr>
          <w:rFonts w:ascii="Arial" w:eastAsia="Times New Roman" w:hAnsi="Arial" w:cs="Arial"/>
          <w:sz w:val="24"/>
          <w:szCs w:val="24"/>
          <w:lang w:val="en-US" w:eastAsia="en-US"/>
        </w:rPr>
        <w:t>etc.</w:t>
      </w:r>
      <w:r w:rsidRPr="004E6C18">
        <w:rPr>
          <w:rFonts w:ascii="Arial" w:eastAsia="Times New Roman" w:hAnsi="Arial" w:cs="Arial"/>
          <w:sz w:val="24"/>
          <w:szCs w:val="24"/>
          <w:lang w:val="en-US" w:eastAsia="en-US"/>
        </w:rPr>
        <w:t>);</w:t>
      </w:r>
    </w:p>
    <w:p w14:paraId="7BB1F806" w14:textId="77777777" w:rsidR="004E6C18" w:rsidRPr="004E6C18" w:rsidRDefault="004E6C18" w:rsidP="005F2996">
      <w:pPr>
        <w:numPr>
          <w:ilvl w:val="0"/>
          <w:numId w:val="14"/>
        </w:numPr>
        <w:tabs>
          <w:tab w:val="clear" w:pos="720"/>
          <w:tab w:val="num" w:pos="270"/>
        </w:tabs>
        <w:spacing w:before="100" w:beforeAutospacing="1" w:after="100" w:afterAutospacing="1"/>
        <w:ind w:left="27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funds and property transferred to the bank under trust management.</w:t>
      </w:r>
    </w:p>
    <w:p w14:paraId="7584F90F" w14:textId="77777777"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Amount of Guaranteed Compensation</w:t>
      </w:r>
    </w:p>
    <w:p w14:paraId="0953B076" w14:textId="5A66EE69" w:rsidR="004E6C18" w:rsidRPr="004E6C18" w:rsidRDefault="00697FCF" w:rsidP="004E6C18">
      <w:pPr>
        <w:spacing w:before="100" w:beforeAutospacing="1" w:after="100" w:afterAutospacing="1"/>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Upon an </w:t>
      </w:r>
      <w:r w:rsidR="004E6C18" w:rsidRPr="004E6C18">
        <w:rPr>
          <w:rFonts w:ascii="Arial" w:eastAsia="Times New Roman" w:hAnsi="Arial" w:cs="Arial"/>
          <w:sz w:val="24"/>
          <w:szCs w:val="24"/>
          <w:lang w:val="en-US" w:eastAsia="en-US"/>
        </w:rPr>
        <w:t>insured event, the Deposit Guarantee Agency pays:</w:t>
      </w:r>
    </w:p>
    <w:p w14:paraId="6AA543A8" w14:textId="77777777" w:rsidR="004E6C18" w:rsidRPr="004E6C18" w:rsidRDefault="004E6C18" w:rsidP="005F2996">
      <w:pPr>
        <w:numPr>
          <w:ilvl w:val="0"/>
          <w:numId w:val="15"/>
        </w:numPr>
        <w:tabs>
          <w:tab w:val="clear" w:pos="720"/>
          <w:tab w:val="num" w:pos="270"/>
        </w:tabs>
        <w:spacing w:before="100" w:beforeAutospacing="1" w:after="100" w:afterAutospacing="1"/>
        <w:ind w:hanging="81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100% of the deposit amount if it does not exceed 200,000,000 (two hundred million) </w:t>
      </w:r>
      <w:proofErr w:type="spellStart"/>
      <w:r w:rsidRPr="004E6C18">
        <w:rPr>
          <w:rFonts w:ascii="Arial" w:eastAsia="Times New Roman" w:hAnsi="Arial" w:cs="Arial"/>
          <w:sz w:val="24"/>
          <w:szCs w:val="24"/>
          <w:lang w:val="en-US" w:eastAsia="en-US"/>
        </w:rPr>
        <w:t>soum</w:t>
      </w:r>
      <w:proofErr w:type="spellEnd"/>
      <w:r w:rsidRPr="004E6C18">
        <w:rPr>
          <w:rFonts w:ascii="Arial" w:eastAsia="Times New Roman" w:hAnsi="Arial" w:cs="Arial"/>
          <w:sz w:val="24"/>
          <w:szCs w:val="24"/>
          <w:lang w:val="en-US" w:eastAsia="en-US"/>
        </w:rPr>
        <w:t>;</w:t>
      </w:r>
    </w:p>
    <w:p w14:paraId="612164FD" w14:textId="5704AD83" w:rsidR="004E6C18" w:rsidRPr="004E6C18" w:rsidRDefault="004E6C18" w:rsidP="005F2996">
      <w:pPr>
        <w:numPr>
          <w:ilvl w:val="0"/>
          <w:numId w:val="15"/>
        </w:numPr>
        <w:tabs>
          <w:tab w:val="clear" w:pos="720"/>
          <w:tab w:val="num" w:pos="270"/>
        </w:tabs>
        <w:spacing w:before="100" w:beforeAutospacing="1" w:after="100" w:afterAutospacing="1"/>
        <w:ind w:hanging="81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a maximum of 200 million </w:t>
      </w:r>
      <w:proofErr w:type="spellStart"/>
      <w:r w:rsidRPr="004E6C18">
        <w:rPr>
          <w:rFonts w:ascii="Arial" w:eastAsia="Times New Roman" w:hAnsi="Arial" w:cs="Arial"/>
          <w:sz w:val="24"/>
          <w:szCs w:val="24"/>
          <w:lang w:val="en-US" w:eastAsia="en-US"/>
        </w:rPr>
        <w:t>soum</w:t>
      </w:r>
      <w:proofErr w:type="spellEnd"/>
      <w:r w:rsidRPr="004E6C18">
        <w:rPr>
          <w:rFonts w:ascii="Arial" w:eastAsia="Times New Roman" w:hAnsi="Arial" w:cs="Arial"/>
          <w:sz w:val="24"/>
          <w:szCs w:val="24"/>
          <w:lang w:val="en-US" w:eastAsia="en-US"/>
        </w:rPr>
        <w:t xml:space="preserve"> if the deposit amount exceeds this </w:t>
      </w:r>
      <w:r w:rsidR="00697FCF">
        <w:rPr>
          <w:rFonts w:ascii="Arial" w:eastAsia="Times New Roman" w:hAnsi="Arial" w:cs="Arial"/>
          <w:sz w:val="24"/>
          <w:szCs w:val="24"/>
          <w:lang w:val="en-US" w:eastAsia="en-US"/>
        </w:rPr>
        <w:t>threshold</w:t>
      </w:r>
      <w:r w:rsidRPr="004E6C18">
        <w:rPr>
          <w:rFonts w:ascii="Arial" w:eastAsia="Times New Roman" w:hAnsi="Arial" w:cs="Arial"/>
          <w:sz w:val="24"/>
          <w:szCs w:val="24"/>
          <w:lang w:val="en-US" w:eastAsia="en-US"/>
        </w:rPr>
        <w:t>.</w:t>
      </w:r>
    </w:p>
    <w:p w14:paraId="592C1965" w14:textId="63310240"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All deposits of </w:t>
      </w:r>
      <w:r w:rsidR="00697FCF">
        <w:rPr>
          <w:rFonts w:ascii="Arial" w:eastAsia="Times New Roman" w:hAnsi="Arial" w:cs="Arial"/>
          <w:sz w:val="24"/>
          <w:szCs w:val="24"/>
          <w:lang w:val="en-US" w:eastAsia="en-US"/>
        </w:rPr>
        <w:t>a single</w:t>
      </w:r>
      <w:r w:rsidRPr="004E6C18">
        <w:rPr>
          <w:rFonts w:ascii="Arial" w:eastAsia="Times New Roman" w:hAnsi="Arial" w:cs="Arial"/>
          <w:sz w:val="24"/>
          <w:szCs w:val="24"/>
          <w:lang w:val="en-US" w:eastAsia="en-US"/>
        </w:rPr>
        <w:t xml:space="preserve"> client in the same bank are aggregated — the maximum compensation </w:t>
      </w:r>
      <w:r w:rsidR="003D636D">
        <w:rPr>
          <w:rFonts w:ascii="Arial" w:eastAsia="Times New Roman" w:hAnsi="Arial" w:cs="Arial"/>
          <w:sz w:val="24"/>
          <w:szCs w:val="24"/>
          <w:lang w:val="en-US" w:eastAsia="en-US"/>
        </w:rPr>
        <w:t xml:space="preserve">is independent </w:t>
      </w:r>
      <w:r w:rsidRPr="004E6C18">
        <w:rPr>
          <w:rFonts w:ascii="Arial" w:eastAsia="Times New Roman" w:hAnsi="Arial" w:cs="Arial"/>
          <w:sz w:val="24"/>
          <w:szCs w:val="24"/>
          <w:lang w:val="en-US" w:eastAsia="en-US"/>
        </w:rPr>
        <w:t>o</w:t>
      </w:r>
      <w:r w:rsidR="003D636D">
        <w:rPr>
          <w:rFonts w:ascii="Arial" w:eastAsia="Times New Roman" w:hAnsi="Arial" w:cs="Arial"/>
          <w:sz w:val="24"/>
          <w:szCs w:val="24"/>
          <w:lang w:val="en-US" w:eastAsia="en-US"/>
        </w:rPr>
        <w:t>f</w:t>
      </w:r>
      <w:r w:rsidRPr="004E6C18">
        <w:rPr>
          <w:rFonts w:ascii="Arial" w:eastAsia="Times New Roman" w:hAnsi="Arial" w:cs="Arial"/>
          <w:sz w:val="24"/>
          <w:szCs w:val="24"/>
          <w:lang w:val="en-US" w:eastAsia="en-US"/>
        </w:rPr>
        <w:t xml:space="preserve"> the number of accounts or currency</w:t>
      </w:r>
      <w:r w:rsidR="003D636D">
        <w:rPr>
          <w:rFonts w:ascii="Arial" w:eastAsia="Times New Roman" w:hAnsi="Arial" w:cs="Arial"/>
          <w:sz w:val="24"/>
          <w:szCs w:val="24"/>
          <w:lang w:val="en-US" w:eastAsia="en-US"/>
        </w:rPr>
        <w:t xml:space="preserve"> denomination</w:t>
      </w:r>
      <w:r w:rsidRPr="004E6C18">
        <w:rPr>
          <w:rFonts w:ascii="Arial" w:eastAsia="Times New Roman" w:hAnsi="Arial" w:cs="Arial"/>
          <w:sz w:val="24"/>
          <w:szCs w:val="24"/>
          <w:lang w:val="en-US" w:eastAsia="en-US"/>
        </w:rPr>
        <w:t>.</w:t>
      </w:r>
    </w:p>
    <w:p w14:paraId="0BD72F95" w14:textId="5A1F0320" w:rsidR="004E6C18" w:rsidRPr="004E6C18" w:rsidRDefault="003D636D" w:rsidP="004E6C18">
      <w:pPr>
        <w:spacing w:before="100" w:beforeAutospacing="1" w:after="100" w:afterAutospacing="1"/>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Compensation of </w:t>
      </w:r>
      <w:r w:rsidRPr="004E6C18">
        <w:rPr>
          <w:rFonts w:ascii="Arial" w:eastAsia="Times New Roman" w:hAnsi="Arial" w:cs="Arial"/>
          <w:sz w:val="24"/>
          <w:szCs w:val="24"/>
          <w:lang w:val="en-US" w:eastAsia="en-US"/>
        </w:rPr>
        <w:t>foreign</w:t>
      </w:r>
      <w:r>
        <w:rPr>
          <w:rFonts w:ascii="Arial" w:eastAsia="Times New Roman" w:hAnsi="Arial" w:cs="Arial"/>
          <w:sz w:val="24"/>
          <w:szCs w:val="24"/>
          <w:lang w:val="en-US" w:eastAsia="en-US"/>
        </w:rPr>
        <w:t>-</w:t>
      </w:r>
      <w:r w:rsidRPr="004E6C18">
        <w:rPr>
          <w:rFonts w:ascii="Arial" w:eastAsia="Times New Roman" w:hAnsi="Arial" w:cs="Arial"/>
          <w:sz w:val="24"/>
          <w:szCs w:val="24"/>
          <w:lang w:val="en-US" w:eastAsia="en-US"/>
        </w:rPr>
        <w:t xml:space="preserve">currency </w:t>
      </w:r>
      <w:r w:rsidR="004E6C18" w:rsidRPr="004E6C18">
        <w:rPr>
          <w:rFonts w:ascii="Arial" w:eastAsia="Times New Roman" w:hAnsi="Arial" w:cs="Arial"/>
          <w:sz w:val="24"/>
          <w:szCs w:val="24"/>
          <w:lang w:val="en-US" w:eastAsia="en-US"/>
        </w:rPr>
        <w:t>deposits</w:t>
      </w:r>
      <w:r>
        <w:rPr>
          <w:rFonts w:ascii="Arial" w:eastAsia="Times New Roman" w:hAnsi="Arial" w:cs="Arial"/>
          <w:sz w:val="24"/>
          <w:szCs w:val="24"/>
          <w:lang w:val="en-US" w:eastAsia="en-US"/>
        </w:rPr>
        <w:t xml:space="preserve"> is paid</w:t>
      </w:r>
      <w:r w:rsidR="004E6C18" w:rsidRPr="004E6C18">
        <w:rPr>
          <w:rFonts w:ascii="Arial" w:eastAsia="Times New Roman" w:hAnsi="Arial" w:cs="Arial"/>
          <w:sz w:val="24"/>
          <w:szCs w:val="24"/>
          <w:lang w:val="en-US" w:eastAsia="en-US"/>
        </w:rPr>
        <w:t xml:space="preserve"> in the national currency of the Republic of Uzbekistan at the official </w:t>
      </w:r>
      <w:r w:rsidRPr="004E6C18">
        <w:rPr>
          <w:rFonts w:ascii="Arial" w:eastAsia="Times New Roman" w:hAnsi="Arial" w:cs="Arial"/>
          <w:sz w:val="24"/>
          <w:szCs w:val="24"/>
          <w:lang w:val="en-US" w:eastAsia="en-US"/>
        </w:rPr>
        <w:t xml:space="preserve">Central Bank </w:t>
      </w:r>
      <w:r w:rsidR="004E6C18" w:rsidRPr="004E6C18">
        <w:rPr>
          <w:rFonts w:ascii="Arial" w:eastAsia="Times New Roman" w:hAnsi="Arial" w:cs="Arial"/>
          <w:sz w:val="24"/>
          <w:szCs w:val="24"/>
          <w:lang w:val="en-US" w:eastAsia="en-US"/>
        </w:rPr>
        <w:t>exchange rate as of the date of the insured event.</w:t>
      </w:r>
    </w:p>
    <w:p w14:paraId="59490C38" w14:textId="41011CED"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If the depositor has </w:t>
      </w:r>
      <w:r w:rsidR="00306844" w:rsidRPr="004E6C18">
        <w:rPr>
          <w:rFonts w:ascii="Arial" w:eastAsia="Times New Roman" w:hAnsi="Arial" w:cs="Arial"/>
          <w:sz w:val="24"/>
          <w:szCs w:val="24"/>
          <w:lang w:val="en-US" w:eastAsia="en-US"/>
        </w:rPr>
        <w:t xml:space="preserve">matured </w:t>
      </w:r>
      <w:r w:rsidRPr="004E6C18">
        <w:rPr>
          <w:rFonts w:ascii="Arial" w:eastAsia="Times New Roman" w:hAnsi="Arial" w:cs="Arial"/>
          <w:sz w:val="24"/>
          <w:szCs w:val="24"/>
          <w:lang w:val="en-US" w:eastAsia="en-US"/>
        </w:rPr>
        <w:t xml:space="preserve">obligations to the bank with a due date that has arrived, the compensation </w:t>
      </w:r>
      <w:r w:rsidR="00306844">
        <w:rPr>
          <w:rFonts w:ascii="Arial" w:eastAsia="Times New Roman" w:hAnsi="Arial" w:cs="Arial"/>
          <w:sz w:val="24"/>
          <w:szCs w:val="24"/>
          <w:lang w:val="en-US" w:eastAsia="en-US"/>
        </w:rPr>
        <w:t xml:space="preserve">is calculated </w:t>
      </w:r>
      <w:r w:rsidRPr="004E6C18">
        <w:rPr>
          <w:rFonts w:ascii="Arial" w:eastAsia="Times New Roman" w:hAnsi="Arial" w:cs="Arial"/>
          <w:sz w:val="24"/>
          <w:szCs w:val="24"/>
          <w:lang w:val="en-US" w:eastAsia="en-US"/>
        </w:rPr>
        <w:t>as the difference between the guaranteed deposit</w:t>
      </w:r>
      <w:r w:rsidR="00306844">
        <w:rPr>
          <w:rFonts w:ascii="Arial" w:eastAsia="Times New Roman" w:hAnsi="Arial" w:cs="Arial"/>
          <w:sz w:val="24"/>
          <w:szCs w:val="24"/>
          <w:lang w:val="en-US" w:eastAsia="en-US"/>
        </w:rPr>
        <w:t xml:space="preserve"> amount</w:t>
      </w:r>
      <w:r w:rsidRPr="004E6C18">
        <w:rPr>
          <w:rFonts w:ascii="Arial" w:eastAsia="Times New Roman" w:hAnsi="Arial" w:cs="Arial"/>
          <w:sz w:val="24"/>
          <w:szCs w:val="24"/>
          <w:lang w:val="en-US" w:eastAsia="en-US"/>
        </w:rPr>
        <w:t xml:space="preserve"> and the </w:t>
      </w:r>
      <w:r w:rsidR="00306844" w:rsidRPr="004E6C18">
        <w:rPr>
          <w:rFonts w:ascii="Arial" w:eastAsia="Times New Roman" w:hAnsi="Arial" w:cs="Arial"/>
          <w:sz w:val="24"/>
          <w:szCs w:val="24"/>
          <w:lang w:val="en-US" w:eastAsia="en-US"/>
        </w:rPr>
        <w:t xml:space="preserve">outstanding </w:t>
      </w:r>
      <w:r w:rsidRPr="004E6C18">
        <w:rPr>
          <w:rFonts w:ascii="Arial" w:eastAsia="Times New Roman" w:hAnsi="Arial" w:cs="Arial"/>
          <w:sz w:val="24"/>
          <w:szCs w:val="24"/>
          <w:lang w:val="en-US" w:eastAsia="en-US"/>
        </w:rPr>
        <w:t>debt for which the repayment term has</w:t>
      </w:r>
      <w:r w:rsidR="00306844">
        <w:rPr>
          <w:rFonts w:ascii="Arial" w:eastAsia="Times New Roman" w:hAnsi="Arial" w:cs="Arial"/>
          <w:sz w:val="24"/>
          <w:szCs w:val="24"/>
          <w:lang w:val="en-US" w:eastAsia="en-US"/>
        </w:rPr>
        <w:t xml:space="preserve"> arrived</w:t>
      </w:r>
      <w:r w:rsidRPr="004E6C18">
        <w:rPr>
          <w:rFonts w:ascii="Arial" w:eastAsia="Times New Roman" w:hAnsi="Arial" w:cs="Arial"/>
          <w:sz w:val="24"/>
          <w:szCs w:val="24"/>
          <w:lang w:val="en-US" w:eastAsia="en-US"/>
        </w:rPr>
        <w:t>.</w:t>
      </w:r>
    </w:p>
    <w:p w14:paraId="2C49BCFE" w14:textId="77777777"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What Constitutes an Insured Event?</w:t>
      </w:r>
    </w:p>
    <w:p w14:paraId="23E41CCA"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An insured event is deemed to occur upon the revocation by the Central Bank of the Republic of Uzbekistan of a bank’s license to conduct banking operations, followed by its compulsory liquidation. It is from this date that the amount of compensation is calculated and the payout procedure is initiated.</w:t>
      </w:r>
    </w:p>
    <w:p w14:paraId="013133EC" w14:textId="42B7D816" w:rsidR="004E6C18" w:rsidRPr="004E6C18" w:rsidRDefault="00183FFC"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 xml:space="preserve">Payout </w:t>
      </w:r>
      <w:r w:rsidR="004E6C18" w:rsidRPr="004E6C18">
        <w:rPr>
          <w:rFonts w:ascii="Arial" w:eastAsia="Times New Roman" w:hAnsi="Arial" w:cs="Arial"/>
          <w:b/>
          <w:bCs/>
          <w:sz w:val="24"/>
          <w:szCs w:val="24"/>
          <w:lang w:val="en-US" w:eastAsia="en-US"/>
        </w:rPr>
        <w:t>Timelines and Procedure</w:t>
      </w:r>
    </w:p>
    <w:p w14:paraId="57A1A399" w14:textId="0885AC85"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The Law provides for a phased reduction in the timeframes for commencing the repayment:</w:t>
      </w:r>
    </w:p>
    <w:p w14:paraId="6F0E0DA1" w14:textId="77777777" w:rsidR="004E6C18" w:rsidRPr="004E6C18" w:rsidRDefault="004E6C18" w:rsidP="005F2996">
      <w:pPr>
        <w:numPr>
          <w:ilvl w:val="0"/>
          <w:numId w:val="16"/>
        </w:numPr>
        <w:tabs>
          <w:tab w:val="clear" w:pos="720"/>
          <w:tab w:val="num" w:pos="270"/>
        </w:tabs>
        <w:spacing w:before="100" w:beforeAutospacing="1" w:after="100" w:afterAutospacing="1"/>
        <w:ind w:hanging="72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2025 — within 20 working days;</w:t>
      </w:r>
    </w:p>
    <w:p w14:paraId="092DD81F" w14:textId="0133A8A9" w:rsidR="004E6C18" w:rsidRPr="004E6C18" w:rsidRDefault="004E6C18" w:rsidP="005F2996">
      <w:pPr>
        <w:numPr>
          <w:ilvl w:val="0"/>
          <w:numId w:val="16"/>
        </w:numPr>
        <w:tabs>
          <w:tab w:val="clear" w:pos="720"/>
          <w:tab w:val="num" w:pos="270"/>
        </w:tabs>
        <w:spacing w:before="100" w:beforeAutospacing="1" w:after="100" w:afterAutospacing="1"/>
        <w:ind w:hanging="72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from January</w:t>
      </w:r>
      <w:r w:rsidR="00183FFC">
        <w:rPr>
          <w:rFonts w:ascii="Arial" w:eastAsia="Times New Roman" w:hAnsi="Arial" w:cs="Arial"/>
          <w:sz w:val="24"/>
          <w:szCs w:val="24"/>
          <w:lang w:val="en-US" w:eastAsia="en-US"/>
        </w:rPr>
        <w:t xml:space="preserve"> 1,</w:t>
      </w:r>
      <w:r w:rsidRPr="004E6C18">
        <w:rPr>
          <w:rFonts w:ascii="Arial" w:eastAsia="Times New Roman" w:hAnsi="Arial" w:cs="Arial"/>
          <w:sz w:val="24"/>
          <w:szCs w:val="24"/>
          <w:lang w:val="en-US" w:eastAsia="en-US"/>
        </w:rPr>
        <w:t xml:space="preserve"> 2026 — within 15 working days;</w:t>
      </w:r>
    </w:p>
    <w:p w14:paraId="3EC8CFD7" w14:textId="674906DA" w:rsidR="004E6C18" w:rsidRPr="004E6C18" w:rsidRDefault="004E6C18" w:rsidP="005F2996">
      <w:pPr>
        <w:numPr>
          <w:ilvl w:val="0"/>
          <w:numId w:val="16"/>
        </w:numPr>
        <w:tabs>
          <w:tab w:val="clear" w:pos="720"/>
          <w:tab w:val="num" w:pos="270"/>
        </w:tabs>
        <w:spacing w:before="100" w:beforeAutospacing="1" w:after="100" w:afterAutospacing="1"/>
        <w:ind w:hanging="72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from January</w:t>
      </w:r>
      <w:r w:rsidR="00183FFC">
        <w:rPr>
          <w:rFonts w:ascii="Arial" w:eastAsia="Times New Roman" w:hAnsi="Arial" w:cs="Arial"/>
          <w:sz w:val="24"/>
          <w:szCs w:val="24"/>
          <w:lang w:val="en-US" w:eastAsia="en-US"/>
        </w:rPr>
        <w:t xml:space="preserve"> 1,</w:t>
      </w:r>
      <w:r w:rsidRPr="004E6C18">
        <w:rPr>
          <w:rFonts w:ascii="Arial" w:eastAsia="Times New Roman" w:hAnsi="Arial" w:cs="Arial"/>
          <w:sz w:val="24"/>
          <w:szCs w:val="24"/>
          <w:lang w:val="en-US" w:eastAsia="en-US"/>
        </w:rPr>
        <w:t xml:space="preserve"> 2027 — within 7 working days.</w:t>
      </w:r>
    </w:p>
    <w:p w14:paraId="38DA35E2" w14:textId="349263D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Within 2 working days of receiving the </w:t>
      </w:r>
      <w:r w:rsidR="00183FFC" w:rsidRPr="004E6C18">
        <w:rPr>
          <w:rFonts w:ascii="Arial" w:eastAsia="Times New Roman" w:hAnsi="Arial" w:cs="Arial"/>
          <w:sz w:val="24"/>
          <w:szCs w:val="24"/>
          <w:lang w:val="en-US" w:eastAsia="en-US"/>
        </w:rPr>
        <w:t xml:space="preserve">depositor </w:t>
      </w:r>
      <w:r w:rsidRPr="004E6C18">
        <w:rPr>
          <w:rFonts w:ascii="Arial" w:eastAsia="Times New Roman" w:hAnsi="Arial" w:cs="Arial"/>
          <w:sz w:val="24"/>
          <w:szCs w:val="24"/>
          <w:lang w:val="en-US" w:eastAsia="en-US"/>
        </w:rPr>
        <w:t>register</w:t>
      </w:r>
      <w:r w:rsidR="00183FFC">
        <w:rPr>
          <w:rFonts w:ascii="Arial" w:eastAsia="Times New Roman" w:hAnsi="Arial" w:cs="Arial"/>
          <w:sz w:val="24"/>
          <w:szCs w:val="24"/>
          <w:lang w:val="en-US" w:eastAsia="en-US"/>
        </w:rPr>
        <w:t xml:space="preserve"> </w:t>
      </w:r>
      <w:r w:rsidRPr="004E6C18">
        <w:rPr>
          <w:rFonts w:ascii="Arial" w:eastAsia="Times New Roman" w:hAnsi="Arial" w:cs="Arial"/>
          <w:sz w:val="24"/>
          <w:szCs w:val="24"/>
          <w:lang w:val="en-US" w:eastAsia="en-US"/>
        </w:rPr>
        <w:t>from the liquidator, the Deposit Guarantee Agency publishes information on the occurrence of the insured event in the mass media and on its website (</w:t>
      </w:r>
      <w:r w:rsidR="00183FFC">
        <w:rPr>
          <w:rFonts w:ascii="Arial" w:eastAsia="Times New Roman" w:hAnsi="Arial" w:cs="Arial"/>
          <w:sz w:val="24"/>
          <w:szCs w:val="24"/>
          <w:lang w:val="en-US" w:eastAsia="en-US"/>
        </w:rPr>
        <w:t xml:space="preserve">specifying </w:t>
      </w:r>
      <w:r w:rsidRPr="004E6C18">
        <w:rPr>
          <w:rFonts w:ascii="Arial" w:eastAsia="Times New Roman" w:hAnsi="Arial" w:cs="Arial"/>
          <w:sz w:val="24"/>
          <w:szCs w:val="24"/>
          <w:lang w:val="en-US" w:eastAsia="en-US"/>
        </w:rPr>
        <w:t xml:space="preserve">timelines, conditions, and </w:t>
      </w:r>
      <w:r w:rsidR="00183FFC" w:rsidRPr="004E6C18">
        <w:rPr>
          <w:rFonts w:ascii="Arial" w:eastAsia="Times New Roman" w:hAnsi="Arial" w:cs="Arial"/>
          <w:sz w:val="24"/>
          <w:szCs w:val="24"/>
          <w:lang w:val="en-US" w:eastAsia="en-US"/>
        </w:rPr>
        <w:t xml:space="preserve">payouts </w:t>
      </w:r>
      <w:r w:rsidRPr="004E6C18">
        <w:rPr>
          <w:rFonts w:ascii="Arial" w:eastAsia="Times New Roman" w:hAnsi="Arial" w:cs="Arial"/>
          <w:sz w:val="24"/>
          <w:szCs w:val="24"/>
          <w:lang w:val="en-US" w:eastAsia="en-US"/>
        </w:rPr>
        <w:t>procedure</w:t>
      </w:r>
      <w:r w:rsidR="00183FFC">
        <w:rPr>
          <w:rFonts w:ascii="Arial" w:eastAsia="Times New Roman" w:hAnsi="Arial" w:cs="Arial"/>
          <w:sz w:val="24"/>
          <w:szCs w:val="24"/>
          <w:lang w:val="en-US" w:eastAsia="en-US"/>
        </w:rPr>
        <w:t>s</w:t>
      </w:r>
      <w:r w:rsidRPr="004E6C18">
        <w:rPr>
          <w:rFonts w:ascii="Arial" w:eastAsia="Times New Roman" w:hAnsi="Arial" w:cs="Arial"/>
          <w:sz w:val="24"/>
          <w:szCs w:val="24"/>
          <w:lang w:val="en-US" w:eastAsia="en-US"/>
        </w:rPr>
        <w:t>).</w:t>
      </w:r>
    </w:p>
    <w:p w14:paraId="26520395" w14:textId="77777777"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Procedure for Receiving Compensation</w:t>
      </w:r>
    </w:p>
    <w:p w14:paraId="336034DC" w14:textId="226B96D0"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To receive the payout, the depositor </w:t>
      </w:r>
      <w:r w:rsidR="004E59A0">
        <w:rPr>
          <w:rFonts w:ascii="Arial" w:eastAsia="Times New Roman" w:hAnsi="Arial" w:cs="Arial"/>
          <w:sz w:val="24"/>
          <w:szCs w:val="24"/>
          <w:lang w:val="en-US" w:eastAsia="en-US"/>
        </w:rPr>
        <w:t>submits</w:t>
      </w:r>
      <w:r w:rsidRPr="004E6C18">
        <w:rPr>
          <w:rFonts w:ascii="Arial" w:eastAsia="Times New Roman" w:hAnsi="Arial" w:cs="Arial"/>
          <w:sz w:val="24"/>
          <w:szCs w:val="24"/>
          <w:lang w:val="en-US" w:eastAsia="en-US"/>
        </w:rPr>
        <w:t xml:space="preserve"> to the agent bank:</w:t>
      </w:r>
    </w:p>
    <w:p w14:paraId="0CD8AB93" w14:textId="77777777" w:rsidR="004E6C18" w:rsidRPr="004E6C18" w:rsidRDefault="004E6C18" w:rsidP="005F2996">
      <w:pPr>
        <w:numPr>
          <w:ilvl w:val="0"/>
          <w:numId w:val="17"/>
        </w:numPr>
        <w:tabs>
          <w:tab w:val="clear" w:pos="720"/>
          <w:tab w:val="num" w:pos="360"/>
        </w:tabs>
        <w:spacing w:before="100" w:beforeAutospacing="1" w:after="100" w:afterAutospacing="1"/>
        <w:ind w:hanging="63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the bank deposit agreement and/or bank account agreement;</w:t>
      </w:r>
    </w:p>
    <w:p w14:paraId="6F3ADD19" w14:textId="77777777" w:rsidR="004E6C18" w:rsidRPr="004E6C18" w:rsidRDefault="004E6C18" w:rsidP="005F2996">
      <w:pPr>
        <w:numPr>
          <w:ilvl w:val="0"/>
          <w:numId w:val="17"/>
        </w:numPr>
        <w:tabs>
          <w:tab w:val="clear" w:pos="720"/>
          <w:tab w:val="num" w:pos="360"/>
        </w:tabs>
        <w:spacing w:before="100" w:beforeAutospacing="1" w:after="100" w:afterAutospacing="1"/>
        <w:ind w:hanging="63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an identity document.</w:t>
      </w:r>
    </w:p>
    <w:p w14:paraId="4040F8D9" w14:textId="7BE60D3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Heirs, legal successors, and </w:t>
      </w:r>
      <w:r w:rsidR="000155DE">
        <w:rPr>
          <w:rFonts w:ascii="Arial" w:eastAsia="Times New Roman" w:hAnsi="Arial" w:cs="Arial"/>
          <w:sz w:val="24"/>
          <w:szCs w:val="24"/>
          <w:lang w:val="en-US" w:eastAsia="en-US"/>
        </w:rPr>
        <w:t xml:space="preserve">their </w:t>
      </w:r>
      <w:r w:rsidRPr="004E6C18">
        <w:rPr>
          <w:rFonts w:ascii="Arial" w:eastAsia="Times New Roman" w:hAnsi="Arial" w:cs="Arial"/>
          <w:sz w:val="24"/>
          <w:szCs w:val="24"/>
          <w:lang w:val="en-US" w:eastAsia="en-US"/>
        </w:rPr>
        <w:t>authorized representatives may receive pay</w:t>
      </w:r>
      <w:r w:rsidR="004E59A0">
        <w:rPr>
          <w:rFonts w:ascii="Arial" w:eastAsia="Times New Roman" w:hAnsi="Arial" w:cs="Arial"/>
          <w:sz w:val="24"/>
          <w:szCs w:val="24"/>
          <w:lang w:val="en-US" w:eastAsia="en-US"/>
        </w:rPr>
        <w:t xml:space="preserve">ment </w:t>
      </w:r>
      <w:r w:rsidRPr="004E6C18">
        <w:rPr>
          <w:rFonts w:ascii="Arial" w:eastAsia="Times New Roman" w:hAnsi="Arial" w:cs="Arial"/>
          <w:sz w:val="24"/>
          <w:szCs w:val="24"/>
          <w:lang w:val="en-US" w:eastAsia="en-US"/>
        </w:rPr>
        <w:t>upon presentation of documents confirming their rights.</w:t>
      </w:r>
    </w:p>
    <w:p w14:paraId="179784E9" w14:textId="2CE096BB"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Suspension or Refusal of Pay</w:t>
      </w:r>
      <w:r w:rsidR="004E59A0">
        <w:rPr>
          <w:rFonts w:ascii="Arial" w:eastAsia="Times New Roman" w:hAnsi="Arial" w:cs="Arial"/>
          <w:b/>
          <w:bCs/>
          <w:sz w:val="24"/>
          <w:szCs w:val="24"/>
          <w:lang w:val="en-US" w:eastAsia="en-US"/>
        </w:rPr>
        <w:t>ment</w:t>
      </w:r>
    </w:p>
    <w:p w14:paraId="2AD29D96"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lastRenderedPageBreak/>
        <w:t>Payment may be temporarily suspended in the following cases:</w:t>
      </w:r>
    </w:p>
    <w:p w14:paraId="6CF44D25" w14:textId="319BA4C5" w:rsidR="004E6C18" w:rsidRPr="004E6C18" w:rsidRDefault="004E59A0" w:rsidP="005F2996">
      <w:pPr>
        <w:numPr>
          <w:ilvl w:val="0"/>
          <w:numId w:val="18"/>
        </w:numPr>
        <w:tabs>
          <w:tab w:val="clear" w:pos="720"/>
          <w:tab w:val="num" w:pos="360"/>
        </w:tabs>
        <w:spacing w:before="100" w:beforeAutospacing="1" w:after="100" w:afterAutospacing="1"/>
        <w:ind w:hanging="720"/>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there are </w:t>
      </w:r>
      <w:r w:rsidR="004E6C18" w:rsidRPr="004E6C18">
        <w:rPr>
          <w:rFonts w:ascii="Arial" w:eastAsia="Times New Roman" w:hAnsi="Arial" w:cs="Arial"/>
          <w:sz w:val="24"/>
          <w:szCs w:val="24"/>
          <w:lang w:val="en-US" w:eastAsia="en-US"/>
        </w:rPr>
        <w:t xml:space="preserve">doubts </w:t>
      </w:r>
      <w:r>
        <w:rPr>
          <w:rFonts w:ascii="Arial" w:eastAsia="Times New Roman" w:hAnsi="Arial" w:cs="Arial"/>
          <w:sz w:val="24"/>
          <w:szCs w:val="24"/>
          <w:lang w:val="en-US" w:eastAsia="en-US"/>
        </w:rPr>
        <w:t>about</w:t>
      </w:r>
      <w:r w:rsidR="004E6C18" w:rsidRPr="004E6C18">
        <w:rPr>
          <w:rFonts w:ascii="Arial" w:eastAsia="Times New Roman" w:hAnsi="Arial" w:cs="Arial"/>
          <w:sz w:val="24"/>
          <w:szCs w:val="24"/>
          <w:lang w:val="en-US" w:eastAsia="en-US"/>
        </w:rPr>
        <w:t xml:space="preserve"> the authenticity or reliability of submitted documents;</w:t>
      </w:r>
    </w:p>
    <w:p w14:paraId="7340737B" w14:textId="54856976" w:rsidR="004E6C18" w:rsidRPr="004E6C18" w:rsidRDefault="004E59A0" w:rsidP="005F2996">
      <w:pPr>
        <w:numPr>
          <w:ilvl w:val="0"/>
          <w:numId w:val="18"/>
        </w:numPr>
        <w:tabs>
          <w:tab w:val="clear" w:pos="720"/>
          <w:tab w:val="num" w:pos="360"/>
        </w:tabs>
        <w:spacing w:before="100" w:beforeAutospacing="1" w:after="100" w:afterAutospacing="1"/>
        <w:ind w:hanging="720"/>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there are </w:t>
      </w:r>
      <w:r w:rsidR="004E6C18" w:rsidRPr="004E6C18">
        <w:rPr>
          <w:rFonts w:ascii="Arial" w:eastAsia="Times New Roman" w:hAnsi="Arial" w:cs="Arial"/>
          <w:sz w:val="24"/>
          <w:szCs w:val="24"/>
          <w:lang w:val="en-US" w:eastAsia="en-US"/>
        </w:rPr>
        <w:t xml:space="preserve">discrepancies between the depositor’s claim and the </w:t>
      </w:r>
      <w:r w:rsidRPr="004E6C18">
        <w:rPr>
          <w:rFonts w:ascii="Arial" w:eastAsia="Times New Roman" w:hAnsi="Arial" w:cs="Arial"/>
          <w:sz w:val="24"/>
          <w:szCs w:val="24"/>
          <w:lang w:val="en-US" w:eastAsia="en-US"/>
        </w:rPr>
        <w:t xml:space="preserve">register </w:t>
      </w:r>
      <w:r w:rsidR="004E6C18" w:rsidRPr="004E6C18">
        <w:rPr>
          <w:rFonts w:ascii="Arial" w:eastAsia="Times New Roman" w:hAnsi="Arial" w:cs="Arial"/>
          <w:sz w:val="24"/>
          <w:szCs w:val="24"/>
          <w:lang w:val="en-US" w:eastAsia="en-US"/>
        </w:rPr>
        <w:t>data;</w:t>
      </w:r>
    </w:p>
    <w:p w14:paraId="0A9B3D62" w14:textId="644A9EDB" w:rsidR="004E6C18" w:rsidRPr="004E6C18" w:rsidRDefault="004E59A0" w:rsidP="005F2996">
      <w:pPr>
        <w:numPr>
          <w:ilvl w:val="0"/>
          <w:numId w:val="18"/>
        </w:numPr>
        <w:tabs>
          <w:tab w:val="clear" w:pos="720"/>
          <w:tab w:val="num" w:pos="360"/>
        </w:tabs>
        <w:spacing w:before="100" w:beforeAutospacing="1" w:after="100" w:afterAutospacing="1"/>
        <w:ind w:hanging="720"/>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funds are under </w:t>
      </w:r>
      <w:r w:rsidR="004E6C18" w:rsidRPr="004E6C18">
        <w:rPr>
          <w:rFonts w:ascii="Arial" w:eastAsia="Times New Roman" w:hAnsi="Arial" w:cs="Arial"/>
          <w:sz w:val="24"/>
          <w:szCs w:val="24"/>
          <w:lang w:val="en-US" w:eastAsia="en-US"/>
        </w:rPr>
        <w:t>arrest, fr</w:t>
      </w:r>
      <w:r>
        <w:rPr>
          <w:rFonts w:ascii="Arial" w:eastAsia="Times New Roman" w:hAnsi="Arial" w:cs="Arial"/>
          <w:sz w:val="24"/>
          <w:szCs w:val="24"/>
          <w:lang w:val="en-US" w:eastAsia="en-US"/>
        </w:rPr>
        <w:t>ozen</w:t>
      </w:r>
      <w:r w:rsidR="004E6C18" w:rsidRPr="004E6C18">
        <w:rPr>
          <w:rFonts w:ascii="Arial" w:eastAsia="Times New Roman" w:hAnsi="Arial" w:cs="Arial"/>
          <w:sz w:val="24"/>
          <w:szCs w:val="24"/>
          <w:lang w:val="en-US" w:eastAsia="en-US"/>
        </w:rPr>
        <w:t xml:space="preserve">, or </w:t>
      </w:r>
      <w:r>
        <w:rPr>
          <w:rFonts w:ascii="Arial" w:eastAsia="Times New Roman" w:hAnsi="Arial" w:cs="Arial"/>
          <w:sz w:val="24"/>
          <w:szCs w:val="24"/>
          <w:lang w:val="en-US" w:eastAsia="en-US"/>
        </w:rPr>
        <w:t xml:space="preserve">subject to </w:t>
      </w:r>
      <w:r w:rsidR="004E6C18" w:rsidRPr="004E6C18">
        <w:rPr>
          <w:rFonts w:ascii="Arial" w:eastAsia="Times New Roman" w:hAnsi="Arial" w:cs="Arial"/>
          <w:sz w:val="24"/>
          <w:szCs w:val="24"/>
          <w:lang w:val="en-US" w:eastAsia="en-US"/>
        </w:rPr>
        <w:t>operation</w:t>
      </w:r>
      <w:r>
        <w:rPr>
          <w:rFonts w:ascii="Arial" w:eastAsia="Times New Roman" w:hAnsi="Arial" w:cs="Arial"/>
          <w:sz w:val="24"/>
          <w:szCs w:val="24"/>
          <w:lang w:val="en-US" w:eastAsia="en-US"/>
        </w:rPr>
        <w:t>al restrictions</w:t>
      </w:r>
      <w:r w:rsidR="004E6C18" w:rsidRPr="004E6C18">
        <w:rPr>
          <w:rFonts w:ascii="Arial" w:eastAsia="Times New Roman" w:hAnsi="Arial" w:cs="Arial"/>
          <w:sz w:val="24"/>
          <w:szCs w:val="24"/>
          <w:lang w:val="en-US" w:eastAsia="en-US"/>
        </w:rPr>
        <w:t>;</w:t>
      </w:r>
    </w:p>
    <w:p w14:paraId="008E8A49" w14:textId="5BB083C2" w:rsidR="004E6C18" w:rsidRPr="004E6C18" w:rsidRDefault="004E59A0" w:rsidP="005F2996">
      <w:pPr>
        <w:numPr>
          <w:ilvl w:val="0"/>
          <w:numId w:val="18"/>
        </w:numPr>
        <w:tabs>
          <w:tab w:val="clear" w:pos="720"/>
          <w:tab w:val="num" w:pos="360"/>
        </w:tabs>
        <w:spacing w:before="100" w:beforeAutospacing="1" w:after="100" w:afterAutospacing="1"/>
        <w:ind w:hanging="720"/>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a court </w:t>
      </w:r>
      <w:r w:rsidR="004E6C18" w:rsidRPr="004E6C18">
        <w:rPr>
          <w:rFonts w:ascii="Arial" w:eastAsia="Times New Roman" w:hAnsi="Arial" w:cs="Arial"/>
          <w:sz w:val="24"/>
          <w:szCs w:val="24"/>
          <w:lang w:val="en-US" w:eastAsia="en-US"/>
        </w:rPr>
        <w:t>dispute concerning the deposit</w:t>
      </w:r>
      <w:r>
        <w:rPr>
          <w:rFonts w:ascii="Arial" w:eastAsia="Times New Roman" w:hAnsi="Arial" w:cs="Arial"/>
          <w:sz w:val="24"/>
          <w:szCs w:val="24"/>
          <w:lang w:val="en-US" w:eastAsia="en-US"/>
        </w:rPr>
        <w:t xml:space="preserve"> is ongoing</w:t>
      </w:r>
      <w:r w:rsidR="004E6C18" w:rsidRPr="004E6C18">
        <w:rPr>
          <w:rFonts w:ascii="Arial" w:eastAsia="Times New Roman" w:hAnsi="Arial" w:cs="Arial"/>
          <w:sz w:val="24"/>
          <w:szCs w:val="24"/>
          <w:lang w:val="en-US" w:eastAsia="en-US"/>
        </w:rPr>
        <w:t>.</w:t>
      </w:r>
    </w:p>
    <w:p w14:paraId="775BB00A" w14:textId="4AA2CEB8" w:rsidR="004E6C18" w:rsidRPr="004E6C18" w:rsidRDefault="004E59A0" w:rsidP="004E6C18">
      <w:pPr>
        <w:spacing w:before="100" w:beforeAutospacing="1" w:after="100" w:afterAutospacing="1"/>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P</w:t>
      </w:r>
      <w:r w:rsidR="004E6C18" w:rsidRPr="004E6C18">
        <w:rPr>
          <w:rFonts w:ascii="Arial" w:eastAsia="Times New Roman" w:hAnsi="Arial" w:cs="Arial"/>
          <w:sz w:val="24"/>
          <w:szCs w:val="24"/>
          <w:lang w:val="en-US" w:eastAsia="en-US"/>
        </w:rPr>
        <w:t>ayment</w:t>
      </w:r>
      <w:r>
        <w:rPr>
          <w:rFonts w:ascii="Arial" w:eastAsia="Times New Roman" w:hAnsi="Arial" w:cs="Arial"/>
          <w:sz w:val="24"/>
          <w:szCs w:val="24"/>
          <w:lang w:val="en-US" w:eastAsia="en-US"/>
        </w:rPr>
        <w:t xml:space="preserve"> may be refused</w:t>
      </w:r>
      <w:r w:rsidR="004E6C18" w:rsidRPr="004E6C18">
        <w:rPr>
          <w:rFonts w:ascii="Arial" w:eastAsia="Times New Roman" w:hAnsi="Arial" w:cs="Arial"/>
          <w:sz w:val="24"/>
          <w:szCs w:val="24"/>
          <w:lang w:val="en-US" w:eastAsia="en-US"/>
        </w:rPr>
        <w:t>, or already disbursed amount</w:t>
      </w:r>
      <w:r>
        <w:rPr>
          <w:rFonts w:ascii="Arial" w:eastAsia="Times New Roman" w:hAnsi="Arial" w:cs="Arial"/>
          <w:sz w:val="24"/>
          <w:szCs w:val="24"/>
          <w:lang w:val="en-US" w:eastAsia="en-US"/>
        </w:rPr>
        <w:t xml:space="preserve"> reclaimed</w:t>
      </w:r>
      <w:r w:rsidR="004E6C18" w:rsidRPr="004E6C18">
        <w:rPr>
          <w:rFonts w:ascii="Arial" w:eastAsia="Times New Roman" w:hAnsi="Arial" w:cs="Arial"/>
          <w:sz w:val="24"/>
          <w:szCs w:val="24"/>
          <w:lang w:val="en-US" w:eastAsia="en-US"/>
        </w:rPr>
        <w:t>,</w:t>
      </w:r>
      <w:r>
        <w:rPr>
          <w:rFonts w:ascii="Arial" w:eastAsia="Times New Roman" w:hAnsi="Arial" w:cs="Arial"/>
          <w:sz w:val="24"/>
          <w:szCs w:val="24"/>
          <w:lang w:val="en-US" w:eastAsia="en-US"/>
        </w:rPr>
        <w:t xml:space="preserve"> </w:t>
      </w:r>
      <w:r w:rsidR="004E6C18" w:rsidRPr="004E6C18">
        <w:rPr>
          <w:rFonts w:ascii="Arial" w:eastAsia="Times New Roman" w:hAnsi="Arial" w:cs="Arial"/>
          <w:sz w:val="24"/>
          <w:szCs w:val="24"/>
          <w:lang w:val="en-US" w:eastAsia="en-US"/>
        </w:rPr>
        <w:t>if:</w:t>
      </w:r>
    </w:p>
    <w:p w14:paraId="137D5F35" w14:textId="01BA28B4" w:rsidR="004E6C18" w:rsidRPr="004E6C18" w:rsidRDefault="004E6C18" w:rsidP="005F2996">
      <w:pPr>
        <w:numPr>
          <w:ilvl w:val="0"/>
          <w:numId w:val="19"/>
        </w:numPr>
        <w:tabs>
          <w:tab w:val="clear" w:pos="720"/>
          <w:tab w:val="num" w:pos="450"/>
        </w:tabs>
        <w:spacing w:before="100" w:beforeAutospacing="1" w:after="100" w:afterAutospacing="1"/>
        <w:ind w:left="450" w:hanging="45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forged or falsified documents </w:t>
      </w:r>
      <w:r w:rsidR="00AE7C7B">
        <w:rPr>
          <w:rFonts w:ascii="Arial" w:eastAsia="Times New Roman" w:hAnsi="Arial" w:cs="Arial"/>
          <w:sz w:val="24"/>
          <w:szCs w:val="24"/>
          <w:lang w:val="en-US" w:eastAsia="en-US"/>
        </w:rPr>
        <w:t>were</w:t>
      </w:r>
      <w:r w:rsidRPr="004E6C18">
        <w:rPr>
          <w:rFonts w:ascii="Arial" w:eastAsia="Times New Roman" w:hAnsi="Arial" w:cs="Arial"/>
          <w:sz w:val="24"/>
          <w:szCs w:val="24"/>
          <w:lang w:val="en-US" w:eastAsia="en-US"/>
        </w:rPr>
        <w:t xml:space="preserve"> submitted;</w:t>
      </w:r>
    </w:p>
    <w:p w14:paraId="4BBA1EBD" w14:textId="26E82B9D" w:rsidR="004E6C18" w:rsidRPr="004E6C18" w:rsidRDefault="004E6C18" w:rsidP="005F2996">
      <w:pPr>
        <w:numPr>
          <w:ilvl w:val="0"/>
          <w:numId w:val="19"/>
        </w:numPr>
        <w:tabs>
          <w:tab w:val="clear" w:pos="720"/>
          <w:tab w:val="num" w:pos="450"/>
        </w:tabs>
        <w:spacing w:before="100" w:beforeAutospacing="1" w:after="100" w:afterAutospacing="1"/>
        <w:ind w:left="450" w:hanging="45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a court decision establishes that the funds originate from criminal activities.</w:t>
      </w:r>
    </w:p>
    <w:p w14:paraId="3E3A1220" w14:textId="77777777"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Additional Compensation</w:t>
      </w:r>
    </w:p>
    <w:p w14:paraId="54D62AD1" w14:textId="39811A6F" w:rsidR="004E6C18" w:rsidRPr="004E6C18" w:rsidRDefault="00AE7C7B" w:rsidP="004E6C18">
      <w:pPr>
        <w:spacing w:before="100" w:beforeAutospacing="1" w:after="100" w:afterAutospacing="1"/>
        <w:jc w:val="both"/>
        <w:rPr>
          <w:rFonts w:ascii="Arial" w:eastAsia="Times New Roman" w:hAnsi="Arial" w:cs="Arial"/>
          <w:sz w:val="24"/>
          <w:szCs w:val="24"/>
          <w:lang w:val="en-US" w:eastAsia="en-US"/>
        </w:rPr>
      </w:pPr>
      <w:r>
        <w:rPr>
          <w:rFonts w:ascii="Arial" w:eastAsia="Times New Roman" w:hAnsi="Arial" w:cs="Arial"/>
          <w:sz w:val="24"/>
          <w:szCs w:val="24"/>
          <w:lang w:val="en-US" w:eastAsia="en-US"/>
        </w:rPr>
        <w:t>I</w:t>
      </w:r>
      <w:r w:rsidRPr="004E6C18">
        <w:rPr>
          <w:rFonts w:ascii="Arial" w:eastAsia="Times New Roman" w:hAnsi="Arial" w:cs="Arial"/>
          <w:sz w:val="24"/>
          <w:szCs w:val="24"/>
          <w:lang w:val="en-US" w:eastAsia="en-US"/>
        </w:rPr>
        <w:t xml:space="preserve">n </w:t>
      </w:r>
      <w:r>
        <w:rPr>
          <w:rFonts w:ascii="Arial" w:eastAsia="Times New Roman" w:hAnsi="Arial" w:cs="Arial"/>
          <w:sz w:val="24"/>
          <w:szCs w:val="24"/>
          <w:lang w:val="en-US" w:eastAsia="en-US"/>
        </w:rPr>
        <w:t xml:space="preserve">certain </w:t>
      </w:r>
      <w:r w:rsidR="00252E30" w:rsidRPr="004E6C18">
        <w:rPr>
          <w:rFonts w:ascii="Arial" w:eastAsia="Times New Roman" w:hAnsi="Arial" w:cs="Arial"/>
          <w:sz w:val="24"/>
          <w:szCs w:val="24"/>
          <w:lang w:val="en-US" w:eastAsia="en-US"/>
        </w:rPr>
        <w:t>cases,</w:t>
      </w:r>
      <w:r>
        <w:rPr>
          <w:rFonts w:ascii="Arial" w:eastAsia="Times New Roman" w:hAnsi="Arial" w:cs="Arial"/>
          <w:sz w:val="24"/>
          <w:szCs w:val="24"/>
          <w:lang w:val="en-US" w:eastAsia="en-US"/>
        </w:rPr>
        <w:t xml:space="preserve"> t</w:t>
      </w:r>
      <w:r w:rsidR="004E6C18" w:rsidRPr="004E6C18">
        <w:rPr>
          <w:rFonts w:ascii="Arial" w:eastAsia="Times New Roman" w:hAnsi="Arial" w:cs="Arial"/>
          <w:sz w:val="24"/>
          <w:szCs w:val="24"/>
          <w:lang w:val="en-US" w:eastAsia="en-US"/>
        </w:rPr>
        <w:t>he Law provides for additional compensation, particular</w:t>
      </w:r>
      <w:r>
        <w:rPr>
          <w:rFonts w:ascii="Arial" w:eastAsia="Times New Roman" w:hAnsi="Arial" w:cs="Arial"/>
          <w:sz w:val="24"/>
          <w:szCs w:val="24"/>
          <w:lang w:val="en-US" w:eastAsia="en-US"/>
        </w:rPr>
        <w:t>ly for</w:t>
      </w:r>
      <w:r w:rsidR="004E6C18" w:rsidRPr="004E6C18">
        <w:rPr>
          <w:rFonts w:ascii="Arial" w:eastAsia="Times New Roman" w:hAnsi="Arial" w:cs="Arial"/>
          <w:sz w:val="24"/>
          <w:szCs w:val="24"/>
          <w:lang w:val="en-US" w:eastAsia="en-US"/>
        </w:rPr>
        <w:t>:</w:t>
      </w:r>
    </w:p>
    <w:p w14:paraId="373581EC" w14:textId="4B750AE9" w:rsidR="004E6C18" w:rsidRPr="004E6C18" w:rsidRDefault="004E6C18" w:rsidP="005F2996">
      <w:pPr>
        <w:numPr>
          <w:ilvl w:val="0"/>
          <w:numId w:val="20"/>
        </w:numPr>
        <w:tabs>
          <w:tab w:val="clear" w:pos="720"/>
          <w:tab w:val="num" w:pos="360"/>
        </w:tabs>
        <w:spacing w:before="100" w:beforeAutospacing="1" w:after="100" w:afterAutospacing="1"/>
        <w:ind w:hanging="72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deposits acquired by inheritance;</w:t>
      </w:r>
    </w:p>
    <w:p w14:paraId="1AC60717" w14:textId="6D22F8B3" w:rsidR="004E6C18" w:rsidRPr="004E6C18" w:rsidRDefault="00AE7C7B" w:rsidP="005F2996">
      <w:pPr>
        <w:numPr>
          <w:ilvl w:val="0"/>
          <w:numId w:val="20"/>
        </w:numPr>
        <w:tabs>
          <w:tab w:val="clear" w:pos="720"/>
          <w:tab w:val="num" w:pos="360"/>
        </w:tabs>
        <w:spacing w:before="100" w:beforeAutospacing="1" w:after="100" w:afterAutospacing="1"/>
        <w:ind w:hanging="720"/>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deposits </w:t>
      </w:r>
      <w:r>
        <w:rPr>
          <w:rFonts w:ascii="Arial" w:eastAsia="Times New Roman" w:hAnsi="Arial" w:cs="Arial"/>
          <w:sz w:val="24"/>
          <w:szCs w:val="24"/>
          <w:lang w:val="en-US" w:eastAsia="en-US"/>
        </w:rPr>
        <w:t xml:space="preserve">held </w:t>
      </w:r>
      <w:r w:rsidR="004E6C18" w:rsidRPr="004E6C18">
        <w:rPr>
          <w:rFonts w:ascii="Arial" w:eastAsia="Times New Roman" w:hAnsi="Arial" w:cs="Arial"/>
          <w:sz w:val="24"/>
          <w:szCs w:val="24"/>
          <w:lang w:val="en-US" w:eastAsia="en-US"/>
        </w:rPr>
        <w:t xml:space="preserve">within six months following the bank’s reorganization </w:t>
      </w:r>
      <w:r>
        <w:rPr>
          <w:rFonts w:ascii="Arial" w:eastAsia="Times New Roman" w:hAnsi="Arial" w:cs="Arial"/>
          <w:sz w:val="24"/>
          <w:szCs w:val="24"/>
          <w:lang w:val="en-US" w:eastAsia="en-US"/>
        </w:rPr>
        <w:t>by</w:t>
      </w:r>
      <w:r w:rsidR="004E6C18" w:rsidRPr="004E6C18">
        <w:rPr>
          <w:rFonts w:ascii="Arial" w:eastAsia="Times New Roman" w:hAnsi="Arial" w:cs="Arial"/>
          <w:sz w:val="24"/>
          <w:szCs w:val="24"/>
          <w:lang w:val="en-US" w:eastAsia="en-US"/>
        </w:rPr>
        <w:t xml:space="preserve"> merger.</w:t>
      </w:r>
    </w:p>
    <w:p w14:paraId="3A0AB45B" w14:textId="0FAF01CB"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Eligible depositors </w:t>
      </w:r>
      <w:r w:rsidR="00AE7C7B">
        <w:rPr>
          <w:rFonts w:ascii="Arial" w:eastAsia="Times New Roman" w:hAnsi="Arial" w:cs="Arial"/>
          <w:sz w:val="24"/>
          <w:szCs w:val="24"/>
          <w:lang w:val="en-US" w:eastAsia="en-US"/>
        </w:rPr>
        <w:t>may</w:t>
      </w:r>
      <w:r w:rsidRPr="004E6C18">
        <w:rPr>
          <w:rFonts w:ascii="Arial" w:eastAsia="Times New Roman" w:hAnsi="Arial" w:cs="Arial"/>
          <w:sz w:val="24"/>
          <w:szCs w:val="24"/>
          <w:lang w:val="en-US" w:eastAsia="en-US"/>
        </w:rPr>
        <w:t xml:space="preserve"> withdraw amount</w:t>
      </w:r>
      <w:r w:rsidR="00AE7C7B">
        <w:rPr>
          <w:rFonts w:ascii="Arial" w:eastAsia="Times New Roman" w:hAnsi="Arial" w:cs="Arial"/>
          <w:sz w:val="24"/>
          <w:szCs w:val="24"/>
          <w:lang w:val="en-US" w:eastAsia="en-US"/>
        </w:rPr>
        <w:t>s</w:t>
      </w:r>
      <w:r w:rsidRPr="004E6C18">
        <w:rPr>
          <w:rFonts w:ascii="Arial" w:eastAsia="Times New Roman" w:hAnsi="Arial" w:cs="Arial"/>
          <w:sz w:val="24"/>
          <w:szCs w:val="24"/>
          <w:lang w:val="en-US" w:eastAsia="en-US"/>
        </w:rPr>
        <w:t xml:space="preserve"> exceeding the guaranteed limit, as well as accrued interest, without </w:t>
      </w:r>
      <w:r w:rsidR="00252E30" w:rsidRPr="004E6C18">
        <w:rPr>
          <w:rFonts w:ascii="Arial" w:eastAsia="Times New Roman" w:hAnsi="Arial" w:cs="Arial"/>
          <w:sz w:val="24"/>
          <w:szCs w:val="24"/>
          <w:lang w:val="en-US" w:eastAsia="en-US"/>
        </w:rPr>
        <w:t>early</w:t>
      </w:r>
      <w:r w:rsidR="00252E30">
        <w:rPr>
          <w:rFonts w:ascii="Arial" w:eastAsia="Times New Roman" w:hAnsi="Arial" w:cs="Arial"/>
          <w:sz w:val="24"/>
          <w:szCs w:val="24"/>
          <w:lang w:val="en-US" w:eastAsia="en-US"/>
        </w:rPr>
        <w:t>-</w:t>
      </w:r>
      <w:r w:rsidR="00252E30" w:rsidRPr="004E6C18">
        <w:rPr>
          <w:rFonts w:ascii="Arial" w:eastAsia="Times New Roman" w:hAnsi="Arial" w:cs="Arial"/>
          <w:sz w:val="24"/>
          <w:szCs w:val="24"/>
          <w:lang w:val="en-US" w:eastAsia="en-US"/>
        </w:rPr>
        <w:t xml:space="preserve">withdrawal </w:t>
      </w:r>
      <w:r w:rsidRPr="004E6C18">
        <w:rPr>
          <w:rFonts w:ascii="Arial" w:eastAsia="Times New Roman" w:hAnsi="Arial" w:cs="Arial"/>
          <w:sz w:val="24"/>
          <w:szCs w:val="24"/>
          <w:lang w:val="en-US" w:eastAsia="en-US"/>
        </w:rPr>
        <w:t>penalty</w:t>
      </w:r>
      <w:r w:rsidR="00252E30">
        <w:rPr>
          <w:rFonts w:ascii="Arial" w:eastAsia="Times New Roman" w:hAnsi="Arial" w:cs="Arial"/>
          <w:sz w:val="24"/>
          <w:szCs w:val="24"/>
          <w:lang w:val="en-US" w:eastAsia="en-US"/>
        </w:rPr>
        <w:t xml:space="preserve"> </w:t>
      </w:r>
      <w:r w:rsidR="00AE7C7B" w:rsidRPr="004E6C18">
        <w:rPr>
          <w:rFonts w:ascii="Arial" w:eastAsia="Times New Roman" w:hAnsi="Arial" w:cs="Arial"/>
          <w:sz w:val="24"/>
          <w:szCs w:val="24"/>
          <w:lang w:val="en-US" w:eastAsia="en-US"/>
        </w:rPr>
        <w:t>during the period prescribed by law</w:t>
      </w:r>
      <w:r w:rsidR="00252E30">
        <w:rPr>
          <w:rFonts w:ascii="Arial" w:eastAsia="Times New Roman" w:hAnsi="Arial" w:cs="Arial"/>
          <w:sz w:val="24"/>
          <w:szCs w:val="24"/>
          <w:lang w:val="en-US" w:eastAsia="en-US"/>
        </w:rPr>
        <w:t>.</w:t>
      </w:r>
    </w:p>
    <w:p w14:paraId="47B5C6F9" w14:textId="77777777" w:rsidR="004E6C18" w:rsidRPr="004E6C18" w:rsidRDefault="004E6C18" w:rsidP="004E6C18">
      <w:pPr>
        <w:pStyle w:val="ListParagraph"/>
        <w:numPr>
          <w:ilvl w:val="0"/>
          <w:numId w:val="21"/>
        </w:numPr>
        <w:spacing w:before="100" w:beforeAutospacing="1" w:after="100" w:afterAutospacing="1"/>
        <w:ind w:left="270"/>
        <w:jc w:val="both"/>
        <w:rPr>
          <w:rFonts w:ascii="Arial" w:eastAsia="Times New Roman" w:hAnsi="Arial" w:cs="Arial"/>
          <w:b/>
          <w:bCs/>
          <w:sz w:val="24"/>
          <w:szCs w:val="24"/>
          <w:lang w:val="en-US" w:eastAsia="en-US"/>
        </w:rPr>
      </w:pPr>
      <w:r w:rsidRPr="004E6C18">
        <w:rPr>
          <w:rFonts w:ascii="Arial" w:eastAsia="Times New Roman" w:hAnsi="Arial" w:cs="Arial"/>
          <w:b/>
          <w:bCs/>
          <w:sz w:val="24"/>
          <w:szCs w:val="24"/>
          <w:lang w:val="en-US" w:eastAsia="en-US"/>
        </w:rPr>
        <w:t>Transfer of Claim Rights to the Agency</w:t>
      </w:r>
    </w:p>
    <w:p w14:paraId="239F15FA" w14:textId="267BD6B0"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From the date of the insured event, the depositor’s right of claim against the </w:t>
      </w:r>
      <w:r w:rsidR="00252E30">
        <w:rPr>
          <w:rFonts w:ascii="Arial" w:eastAsia="Times New Roman" w:hAnsi="Arial" w:cs="Arial"/>
          <w:sz w:val="24"/>
          <w:szCs w:val="24"/>
          <w:lang w:val="en-US" w:eastAsia="en-US"/>
        </w:rPr>
        <w:t xml:space="preserve">liquidating </w:t>
      </w:r>
      <w:r w:rsidRPr="004E6C18">
        <w:rPr>
          <w:rFonts w:ascii="Arial" w:eastAsia="Times New Roman" w:hAnsi="Arial" w:cs="Arial"/>
          <w:sz w:val="24"/>
          <w:szCs w:val="24"/>
          <w:lang w:val="en-US" w:eastAsia="en-US"/>
        </w:rPr>
        <w:t xml:space="preserve">bank, up to the </w:t>
      </w:r>
      <w:r w:rsidR="00252E30" w:rsidRPr="004E6C18">
        <w:rPr>
          <w:rFonts w:ascii="Arial" w:eastAsia="Times New Roman" w:hAnsi="Arial" w:cs="Arial"/>
          <w:sz w:val="24"/>
          <w:szCs w:val="24"/>
          <w:lang w:val="en-US" w:eastAsia="en-US"/>
        </w:rPr>
        <w:t xml:space="preserve">guaranteed </w:t>
      </w:r>
      <w:r w:rsidRPr="004E6C18">
        <w:rPr>
          <w:rFonts w:ascii="Arial" w:eastAsia="Times New Roman" w:hAnsi="Arial" w:cs="Arial"/>
          <w:sz w:val="24"/>
          <w:szCs w:val="24"/>
          <w:lang w:val="en-US" w:eastAsia="en-US"/>
        </w:rPr>
        <w:t xml:space="preserve">amount, </w:t>
      </w:r>
      <w:r w:rsidR="00252E30">
        <w:rPr>
          <w:rFonts w:ascii="Arial" w:eastAsia="Times New Roman" w:hAnsi="Arial" w:cs="Arial"/>
          <w:sz w:val="24"/>
          <w:szCs w:val="24"/>
          <w:lang w:val="en-US" w:eastAsia="en-US"/>
        </w:rPr>
        <w:t>transfers</w:t>
      </w:r>
      <w:r w:rsidRPr="004E6C18">
        <w:rPr>
          <w:rFonts w:ascii="Arial" w:eastAsia="Times New Roman" w:hAnsi="Arial" w:cs="Arial"/>
          <w:sz w:val="24"/>
          <w:szCs w:val="24"/>
          <w:lang w:val="en-US" w:eastAsia="en-US"/>
        </w:rPr>
        <w:t xml:space="preserve"> to the Deposit Guarantee Agency. The depositor retains the right to </w:t>
      </w:r>
      <w:r w:rsidR="00252E30">
        <w:rPr>
          <w:rFonts w:ascii="Arial" w:eastAsia="Times New Roman" w:hAnsi="Arial" w:cs="Arial"/>
          <w:sz w:val="24"/>
          <w:szCs w:val="24"/>
          <w:lang w:val="en-US" w:eastAsia="en-US"/>
        </w:rPr>
        <w:t xml:space="preserve">pursue any excess amount directly from </w:t>
      </w:r>
      <w:r w:rsidRPr="004E6C18">
        <w:rPr>
          <w:rFonts w:ascii="Arial" w:eastAsia="Times New Roman" w:hAnsi="Arial" w:cs="Arial"/>
          <w:sz w:val="24"/>
          <w:szCs w:val="24"/>
          <w:lang w:val="en-US" w:eastAsia="en-US"/>
        </w:rPr>
        <w:t>the bank</w:t>
      </w:r>
      <w:r w:rsidR="00252E30">
        <w:rPr>
          <w:rFonts w:ascii="Arial" w:eastAsia="Times New Roman" w:hAnsi="Arial" w:cs="Arial"/>
          <w:sz w:val="24"/>
          <w:szCs w:val="24"/>
          <w:lang w:val="en-US" w:eastAsia="en-US"/>
        </w:rPr>
        <w:t xml:space="preserve">. </w:t>
      </w:r>
      <w:r w:rsidRPr="004E6C18">
        <w:rPr>
          <w:rFonts w:ascii="Arial" w:eastAsia="Times New Roman" w:hAnsi="Arial" w:cs="Arial"/>
          <w:sz w:val="24"/>
          <w:szCs w:val="24"/>
          <w:lang w:val="en-US" w:eastAsia="en-US"/>
        </w:rPr>
        <w:t xml:space="preserve">The Agency bears no </w:t>
      </w:r>
      <w:r w:rsidR="00252E30">
        <w:rPr>
          <w:rFonts w:ascii="Arial" w:eastAsia="Times New Roman" w:hAnsi="Arial" w:cs="Arial"/>
          <w:sz w:val="24"/>
          <w:szCs w:val="24"/>
          <w:lang w:val="en-US" w:eastAsia="en-US"/>
        </w:rPr>
        <w:t>liability</w:t>
      </w:r>
      <w:r w:rsidRPr="004E6C18">
        <w:rPr>
          <w:rFonts w:ascii="Arial" w:eastAsia="Times New Roman" w:hAnsi="Arial" w:cs="Arial"/>
          <w:sz w:val="24"/>
          <w:szCs w:val="24"/>
          <w:lang w:val="en-US" w:eastAsia="en-US"/>
        </w:rPr>
        <w:t xml:space="preserve"> for </w:t>
      </w:r>
      <w:r w:rsidR="00252E30" w:rsidRPr="004E6C18">
        <w:rPr>
          <w:rFonts w:ascii="Arial" w:eastAsia="Times New Roman" w:hAnsi="Arial" w:cs="Arial"/>
          <w:sz w:val="24"/>
          <w:szCs w:val="24"/>
          <w:lang w:val="en-US" w:eastAsia="en-US"/>
        </w:rPr>
        <w:t>amount</w:t>
      </w:r>
      <w:r w:rsidR="00252E30">
        <w:rPr>
          <w:rFonts w:ascii="Arial" w:eastAsia="Times New Roman" w:hAnsi="Arial" w:cs="Arial"/>
          <w:sz w:val="24"/>
          <w:szCs w:val="24"/>
          <w:lang w:val="en-US" w:eastAsia="en-US"/>
        </w:rPr>
        <w:t xml:space="preserve">s exceeding </w:t>
      </w:r>
      <w:r w:rsidRPr="004E6C18">
        <w:rPr>
          <w:rFonts w:ascii="Arial" w:eastAsia="Times New Roman" w:hAnsi="Arial" w:cs="Arial"/>
          <w:sz w:val="24"/>
          <w:szCs w:val="24"/>
          <w:lang w:val="en-US" w:eastAsia="en-US"/>
        </w:rPr>
        <w:t xml:space="preserve">the </w:t>
      </w:r>
      <w:r w:rsidR="00252E30">
        <w:rPr>
          <w:rFonts w:ascii="Arial" w:eastAsia="Times New Roman" w:hAnsi="Arial" w:cs="Arial"/>
          <w:sz w:val="24"/>
          <w:szCs w:val="24"/>
          <w:lang w:val="en-US" w:eastAsia="en-US"/>
        </w:rPr>
        <w:t>guarantee limit</w:t>
      </w:r>
      <w:r w:rsidRPr="004E6C18">
        <w:rPr>
          <w:rFonts w:ascii="Arial" w:eastAsia="Times New Roman" w:hAnsi="Arial" w:cs="Arial"/>
          <w:sz w:val="24"/>
          <w:szCs w:val="24"/>
          <w:lang w:val="en-US" w:eastAsia="en-US"/>
        </w:rPr>
        <w:t>.</w:t>
      </w:r>
    </w:p>
    <w:p w14:paraId="291AD14B"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b/>
          <w:bCs/>
          <w:sz w:val="24"/>
          <w:szCs w:val="24"/>
          <w:lang w:val="en-US" w:eastAsia="en-US"/>
        </w:rPr>
        <w:t>Conclusion</w:t>
      </w:r>
    </w:p>
    <w:p w14:paraId="04DBE9F0" w14:textId="52446010"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The Law on Deposit Guarantees establishes a systematic </w:t>
      </w:r>
      <w:r w:rsidR="002332B3">
        <w:rPr>
          <w:rFonts w:ascii="Arial" w:eastAsia="Times New Roman" w:hAnsi="Arial" w:cs="Arial"/>
          <w:sz w:val="24"/>
          <w:szCs w:val="24"/>
          <w:lang w:val="en-US" w:eastAsia="en-US"/>
        </w:rPr>
        <w:t xml:space="preserve">framework </w:t>
      </w:r>
      <w:r w:rsidRPr="004E6C18">
        <w:rPr>
          <w:rFonts w:ascii="Arial" w:eastAsia="Times New Roman" w:hAnsi="Arial" w:cs="Arial"/>
          <w:sz w:val="24"/>
          <w:szCs w:val="24"/>
          <w:lang w:val="en-US" w:eastAsia="en-US"/>
        </w:rPr>
        <w:t xml:space="preserve">for protecting bank customers and ensures </w:t>
      </w:r>
      <w:r w:rsidR="002332B3">
        <w:rPr>
          <w:rFonts w:ascii="Arial" w:eastAsia="Times New Roman" w:hAnsi="Arial" w:cs="Arial"/>
          <w:sz w:val="24"/>
          <w:szCs w:val="24"/>
          <w:lang w:val="en-US" w:eastAsia="en-US"/>
        </w:rPr>
        <w:t xml:space="preserve">repayments </w:t>
      </w:r>
      <w:r w:rsidRPr="004E6C18">
        <w:rPr>
          <w:rFonts w:ascii="Arial" w:eastAsia="Times New Roman" w:hAnsi="Arial" w:cs="Arial"/>
          <w:sz w:val="24"/>
          <w:szCs w:val="24"/>
          <w:lang w:val="en-US" w:eastAsia="en-US"/>
        </w:rPr>
        <w:t xml:space="preserve">of funds </w:t>
      </w:r>
      <w:r w:rsidR="002332B3">
        <w:rPr>
          <w:rFonts w:ascii="Arial" w:eastAsia="Times New Roman" w:hAnsi="Arial" w:cs="Arial"/>
          <w:sz w:val="24"/>
          <w:szCs w:val="24"/>
          <w:lang w:val="en-US" w:eastAsia="en-US"/>
        </w:rPr>
        <w:t xml:space="preserve">up to the </w:t>
      </w:r>
      <w:r w:rsidRPr="004E6C18">
        <w:rPr>
          <w:rFonts w:ascii="Arial" w:eastAsia="Times New Roman" w:hAnsi="Arial" w:cs="Arial"/>
          <w:sz w:val="24"/>
          <w:szCs w:val="24"/>
          <w:lang w:val="en-US" w:eastAsia="en-US"/>
        </w:rPr>
        <w:t>prescribed limit in the event of an insured event</w:t>
      </w:r>
      <w:r w:rsidR="002332B3">
        <w:rPr>
          <w:rFonts w:ascii="Arial" w:eastAsia="Times New Roman" w:hAnsi="Arial" w:cs="Arial"/>
          <w:sz w:val="24"/>
          <w:szCs w:val="24"/>
          <w:lang w:val="en-US" w:eastAsia="en-US"/>
        </w:rPr>
        <w:t xml:space="preserve"> </w:t>
      </w:r>
      <w:proofErr w:type="spellStart"/>
      <w:r w:rsidR="002332B3">
        <w:rPr>
          <w:rFonts w:ascii="Arial" w:eastAsia="Times New Roman" w:hAnsi="Arial" w:cs="Arial"/>
          <w:sz w:val="24"/>
          <w:szCs w:val="24"/>
          <w:lang w:val="en-US" w:eastAsia="en-US"/>
        </w:rPr>
        <w:t>occurence</w:t>
      </w:r>
      <w:proofErr w:type="spellEnd"/>
      <w:r w:rsidRPr="004E6C18">
        <w:rPr>
          <w:rFonts w:ascii="Arial" w:eastAsia="Times New Roman" w:hAnsi="Arial" w:cs="Arial"/>
          <w:sz w:val="24"/>
          <w:szCs w:val="24"/>
          <w:lang w:val="en-US" w:eastAsia="en-US"/>
        </w:rPr>
        <w:t>. For individuals, it serves as an instrument of financial stability and protection of personal savings. For legal entities, it constitutes an element of risk management and additional legal safeguard when placing funds with banks.</w:t>
      </w:r>
    </w:p>
    <w:p w14:paraId="03AA5ECE" w14:textId="77777777" w:rsidR="004E6C18" w:rsidRPr="004E6C18" w:rsidRDefault="004E6C18" w:rsidP="004E6C18">
      <w:pPr>
        <w:spacing w:before="100" w:beforeAutospacing="1" w:after="100" w:afterAutospacing="1"/>
        <w:jc w:val="both"/>
        <w:rPr>
          <w:rFonts w:ascii="Arial" w:eastAsia="Times New Roman" w:hAnsi="Arial" w:cs="Arial"/>
          <w:sz w:val="24"/>
          <w:szCs w:val="24"/>
          <w:lang w:val="en-US" w:eastAsia="en-US"/>
        </w:rPr>
      </w:pPr>
      <w:r w:rsidRPr="004E6C18">
        <w:rPr>
          <w:rFonts w:ascii="Arial" w:eastAsia="Times New Roman" w:hAnsi="Arial" w:cs="Arial"/>
          <w:sz w:val="24"/>
          <w:szCs w:val="24"/>
          <w:lang w:val="en-US" w:eastAsia="en-US"/>
        </w:rPr>
        <w:t xml:space="preserve">The state guarantee of up to 200 million </w:t>
      </w:r>
      <w:proofErr w:type="spellStart"/>
      <w:r w:rsidRPr="004E6C18">
        <w:rPr>
          <w:rFonts w:ascii="Arial" w:eastAsia="Times New Roman" w:hAnsi="Arial" w:cs="Arial"/>
          <w:sz w:val="24"/>
          <w:szCs w:val="24"/>
          <w:lang w:val="en-US" w:eastAsia="en-US"/>
        </w:rPr>
        <w:t>soum</w:t>
      </w:r>
      <w:proofErr w:type="spellEnd"/>
      <w:r w:rsidRPr="004E6C18">
        <w:rPr>
          <w:rFonts w:ascii="Arial" w:eastAsia="Times New Roman" w:hAnsi="Arial" w:cs="Arial"/>
          <w:sz w:val="24"/>
          <w:szCs w:val="24"/>
          <w:lang w:val="en-US" w:eastAsia="en-US"/>
        </w:rPr>
        <w:t xml:space="preserve"> per depositor per bank represents a significant factor in building confidence in the banking system and contributes to its sustainable development.</w:t>
      </w:r>
    </w:p>
    <w:p w14:paraId="36C279CA" w14:textId="6520898C" w:rsidR="003D20BC" w:rsidRPr="004E6C18" w:rsidRDefault="003D20BC" w:rsidP="004E6C18">
      <w:pPr>
        <w:pStyle w:val="NormalWeb"/>
        <w:jc w:val="both"/>
        <w:rPr>
          <w:rFonts w:ascii="Arial" w:hAnsi="Arial" w:cs="Arial"/>
          <w:sz w:val="24"/>
          <w:szCs w:val="24"/>
          <w:lang w:val="en-US"/>
        </w:rPr>
      </w:pPr>
    </w:p>
    <w:sectPr w:rsidR="003D20BC" w:rsidRPr="004E6C18" w:rsidSect="00BF693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BF1"/>
    <w:multiLevelType w:val="multilevel"/>
    <w:tmpl w:val="9EA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A0B38"/>
    <w:multiLevelType w:val="multilevel"/>
    <w:tmpl w:val="1374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B2CB4"/>
    <w:multiLevelType w:val="multilevel"/>
    <w:tmpl w:val="6944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2626D"/>
    <w:multiLevelType w:val="multilevel"/>
    <w:tmpl w:val="73E0B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E76CB"/>
    <w:multiLevelType w:val="multilevel"/>
    <w:tmpl w:val="3A56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C198F"/>
    <w:multiLevelType w:val="hybridMultilevel"/>
    <w:tmpl w:val="0444FECE"/>
    <w:lvl w:ilvl="0" w:tplc="AEF448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46AC5"/>
    <w:multiLevelType w:val="multilevel"/>
    <w:tmpl w:val="C810B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12487"/>
    <w:multiLevelType w:val="multilevel"/>
    <w:tmpl w:val="01EE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93FE1"/>
    <w:multiLevelType w:val="multilevel"/>
    <w:tmpl w:val="CC2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2172D"/>
    <w:multiLevelType w:val="hybridMultilevel"/>
    <w:tmpl w:val="B0DEA2FE"/>
    <w:lvl w:ilvl="0" w:tplc="978441F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3E0E9A"/>
    <w:multiLevelType w:val="multilevel"/>
    <w:tmpl w:val="A6C0B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01B77"/>
    <w:multiLevelType w:val="multilevel"/>
    <w:tmpl w:val="B3DA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504BE"/>
    <w:multiLevelType w:val="multilevel"/>
    <w:tmpl w:val="166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26836"/>
    <w:multiLevelType w:val="hybridMultilevel"/>
    <w:tmpl w:val="576EA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70DB5"/>
    <w:multiLevelType w:val="multilevel"/>
    <w:tmpl w:val="0F4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82FD1"/>
    <w:multiLevelType w:val="multilevel"/>
    <w:tmpl w:val="3BBE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C26B9"/>
    <w:multiLevelType w:val="multilevel"/>
    <w:tmpl w:val="844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A61D3"/>
    <w:multiLevelType w:val="multilevel"/>
    <w:tmpl w:val="6A4EA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D3841"/>
    <w:multiLevelType w:val="multilevel"/>
    <w:tmpl w:val="8E48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435D8"/>
    <w:multiLevelType w:val="multilevel"/>
    <w:tmpl w:val="C8D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95AF8"/>
    <w:multiLevelType w:val="multilevel"/>
    <w:tmpl w:val="27A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81875"/>
    <w:multiLevelType w:val="multilevel"/>
    <w:tmpl w:val="00E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17"/>
  </w:num>
  <w:num w:numId="5">
    <w:abstractNumId w:val="15"/>
  </w:num>
  <w:num w:numId="6">
    <w:abstractNumId w:val="2"/>
  </w:num>
  <w:num w:numId="7">
    <w:abstractNumId w:val="10"/>
  </w:num>
  <w:num w:numId="8">
    <w:abstractNumId w:val="6"/>
  </w:num>
  <w:num w:numId="9">
    <w:abstractNumId w:val="4"/>
  </w:num>
  <w:num w:numId="10">
    <w:abstractNumId w:val="9"/>
  </w:num>
  <w:num w:numId="11">
    <w:abstractNumId w:val="20"/>
  </w:num>
  <w:num w:numId="12">
    <w:abstractNumId w:val="19"/>
  </w:num>
  <w:num w:numId="13">
    <w:abstractNumId w:val="21"/>
  </w:num>
  <w:num w:numId="14">
    <w:abstractNumId w:val="8"/>
  </w:num>
  <w:num w:numId="15">
    <w:abstractNumId w:val="14"/>
  </w:num>
  <w:num w:numId="16">
    <w:abstractNumId w:val="11"/>
  </w:num>
  <w:num w:numId="17">
    <w:abstractNumId w:val="0"/>
  </w:num>
  <w:num w:numId="18">
    <w:abstractNumId w:val="18"/>
  </w:num>
  <w:num w:numId="19">
    <w:abstractNumId w:val="16"/>
  </w:num>
  <w:num w:numId="20">
    <w:abstractNumId w:val="12"/>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D2"/>
    <w:rsid w:val="000155DE"/>
    <w:rsid w:val="00136B51"/>
    <w:rsid w:val="00180599"/>
    <w:rsid w:val="00183FFC"/>
    <w:rsid w:val="002332B3"/>
    <w:rsid w:val="00252E30"/>
    <w:rsid w:val="00295643"/>
    <w:rsid w:val="00306844"/>
    <w:rsid w:val="003D20BC"/>
    <w:rsid w:val="003D636D"/>
    <w:rsid w:val="004E59A0"/>
    <w:rsid w:val="004E6C18"/>
    <w:rsid w:val="00517AC5"/>
    <w:rsid w:val="005F12F4"/>
    <w:rsid w:val="005F2996"/>
    <w:rsid w:val="006222F7"/>
    <w:rsid w:val="0065440E"/>
    <w:rsid w:val="00697FCF"/>
    <w:rsid w:val="008664B3"/>
    <w:rsid w:val="00A80A7D"/>
    <w:rsid w:val="00AC6644"/>
    <w:rsid w:val="00AE7C7B"/>
    <w:rsid w:val="00B822B5"/>
    <w:rsid w:val="00BF693B"/>
    <w:rsid w:val="00C2470E"/>
    <w:rsid w:val="00C639D2"/>
    <w:rsid w:val="00CC2FCC"/>
    <w:rsid w:val="00CC4B76"/>
    <w:rsid w:val="00E92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3E96"/>
  <w15:chartTrackingRefBased/>
  <w15:docId w15:val="{FF56F6BE-9DB0-40E8-BFDE-7296D877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3B"/>
    <w:pPr>
      <w:spacing w:after="0" w:line="240" w:lineRule="auto"/>
    </w:pPr>
    <w:rPr>
      <w:rFonts w:ascii="Calibri" w:hAnsi="Calibri" w:cs="Calibri"/>
      <w:lang w:eastAsia="ru-RU"/>
    </w:rPr>
  </w:style>
  <w:style w:type="paragraph" w:styleId="Heading2">
    <w:name w:val="heading 2"/>
    <w:basedOn w:val="Normal"/>
    <w:next w:val="Normal"/>
    <w:link w:val="Heading2Char"/>
    <w:uiPriority w:val="9"/>
    <w:semiHidden/>
    <w:unhideWhenUsed/>
    <w:qFormat/>
    <w:rsid w:val="00E92E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BF693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693B"/>
    <w:rPr>
      <w:rFonts w:ascii="Calibri" w:hAnsi="Calibri" w:cs="Calibri"/>
      <w:b/>
      <w:bCs/>
      <w:sz w:val="27"/>
      <w:szCs w:val="27"/>
      <w:lang w:eastAsia="ru-RU"/>
    </w:rPr>
  </w:style>
  <w:style w:type="paragraph" w:styleId="NormalWeb">
    <w:name w:val="Normal (Web)"/>
    <w:basedOn w:val="Normal"/>
    <w:uiPriority w:val="99"/>
    <w:unhideWhenUsed/>
    <w:rsid w:val="00BF693B"/>
  </w:style>
  <w:style w:type="character" w:styleId="Strong">
    <w:name w:val="Strong"/>
    <w:basedOn w:val="DefaultParagraphFont"/>
    <w:uiPriority w:val="22"/>
    <w:qFormat/>
    <w:rsid w:val="00BF693B"/>
    <w:rPr>
      <w:b/>
      <w:bCs/>
    </w:rPr>
  </w:style>
  <w:style w:type="character" w:customStyle="1" w:styleId="Heading2Char">
    <w:name w:val="Heading 2 Char"/>
    <w:basedOn w:val="DefaultParagraphFont"/>
    <w:link w:val="Heading2"/>
    <w:uiPriority w:val="9"/>
    <w:semiHidden/>
    <w:rsid w:val="00E92E34"/>
    <w:rPr>
      <w:rFonts w:asciiTheme="majorHAnsi" w:eastAsiaTheme="majorEastAsia" w:hAnsiTheme="majorHAnsi" w:cstheme="majorBidi"/>
      <w:color w:val="2F5496" w:themeColor="accent1" w:themeShade="BF"/>
      <w:sz w:val="26"/>
      <w:szCs w:val="26"/>
      <w:lang w:eastAsia="ru-RU"/>
    </w:rPr>
  </w:style>
  <w:style w:type="paragraph" w:styleId="ListParagraph">
    <w:name w:val="List Paragraph"/>
    <w:basedOn w:val="Normal"/>
    <w:uiPriority w:val="34"/>
    <w:qFormat/>
    <w:rsid w:val="00E92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24549">
      <w:bodyDiv w:val="1"/>
      <w:marLeft w:val="0"/>
      <w:marRight w:val="0"/>
      <w:marTop w:val="0"/>
      <w:marBottom w:val="0"/>
      <w:divBdr>
        <w:top w:val="none" w:sz="0" w:space="0" w:color="auto"/>
        <w:left w:val="none" w:sz="0" w:space="0" w:color="auto"/>
        <w:bottom w:val="none" w:sz="0" w:space="0" w:color="auto"/>
        <w:right w:val="none" w:sz="0" w:space="0" w:color="auto"/>
      </w:divBdr>
    </w:div>
    <w:div w:id="1054430250">
      <w:bodyDiv w:val="1"/>
      <w:marLeft w:val="0"/>
      <w:marRight w:val="0"/>
      <w:marTop w:val="0"/>
      <w:marBottom w:val="0"/>
      <w:divBdr>
        <w:top w:val="none" w:sz="0" w:space="0" w:color="auto"/>
        <w:left w:val="none" w:sz="0" w:space="0" w:color="auto"/>
        <w:bottom w:val="none" w:sz="0" w:space="0" w:color="auto"/>
        <w:right w:val="none" w:sz="0" w:space="0" w:color="auto"/>
      </w:divBdr>
    </w:div>
    <w:div w:id="1339891043">
      <w:bodyDiv w:val="1"/>
      <w:marLeft w:val="0"/>
      <w:marRight w:val="0"/>
      <w:marTop w:val="0"/>
      <w:marBottom w:val="0"/>
      <w:divBdr>
        <w:top w:val="none" w:sz="0" w:space="0" w:color="auto"/>
        <w:left w:val="none" w:sz="0" w:space="0" w:color="auto"/>
        <w:bottom w:val="none" w:sz="0" w:space="0" w:color="auto"/>
        <w:right w:val="none" w:sz="0" w:space="0" w:color="auto"/>
      </w:divBdr>
    </w:div>
    <w:div w:id="20224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Joldasova</dc:creator>
  <cp:keywords/>
  <dc:description/>
  <cp:lastModifiedBy>Anna Joldasova</cp:lastModifiedBy>
  <cp:revision>16</cp:revision>
  <dcterms:created xsi:type="dcterms:W3CDTF">2026-02-18T08:36:00Z</dcterms:created>
  <dcterms:modified xsi:type="dcterms:W3CDTF">2026-02-18T10:55:00Z</dcterms:modified>
</cp:coreProperties>
</file>