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69D8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>Омонатларни</w:t>
      </w:r>
      <w:proofErr w:type="spellEnd"/>
      <w:r w:rsidRPr="00286BB8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>кафолатлаш</w:t>
      </w:r>
      <w:proofErr w:type="spellEnd"/>
    </w:p>
    <w:p w14:paraId="2EFE3213" w14:textId="77777777" w:rsidR="00286BB8" w:rsidRPr="00FE5482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E5482">
        <w:rPr>
          <w:rFonts w:ascii="Arial" w:eastAsia="Times New Roman" w:hAnsi="Arial" w:cs="Arial"/>
          <w:sz w:val="24"/>
          <w:szCs w:val="24"/>
          <w:lang w:eastAsia="en-US"/>
        </w:rPr>
        <w:t>Ўзбекистон Республикаси тижорат банкларида жойлаштирилган омонатлар давлат томонидан ҳимоя қилинади. Уларнинг қайтарилиши Ўзбекистон Республикасининг «</w:t>
      </w:r>
      <w:r w:rsidRPr="00FE5482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en-US"/>
        </w:rPr>
        <w:t>Банклардаги омонатларни ҳимоя қилиш кафолатлари тўғрисида</w:t>
      </w:r>
      <w:r w:rsidRPr="00FE5482">
        <w:rPr>
          <w:rFonts w:ascii="Arial" w:eastAsia="Times New Roman" w:hAnsi="Arial" w:cs="Arial"/>
          <w:sz w:val="24"/>
          <w:szCs w:val="24"/>
          <w:lang w:eastAsia="en-US"/>
        </w:rPr>
        <w:t>»ги Қонуни (№ ЎРҚ-1031, 2025 йил 18 февраль)га мувофиқ кафолатланади.</w:t>
      </w:r>
    </w:p>
    <w:p w14:paraId="68D3DBFD" w14:textId="77777777" w:rsidR="00286BB8" w:rsidRPr="00FE5482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E5482">
        <w:rPr>
          <w:rFonts w:ascii="Arial" w:eastAsia="Times New Roman" w:hAnsi="Arial" w:cs="Arial"/>
          <w:sz w:val="24"/>
          <w:szCs w:val="24"/>
          <w:lang w:eastAsia="en-US"/>
        </w:rPr>
        <w:t>Қуйида Қонуннинг асосий қоидаларининг (2025 йил 18 февральдаги № ЎРҚ-1031) ҳозирги тартиб ва тушунтиришларни ҳисобга олган ҳолда қисқача кўриниши келтирилган. У жисмоний шахслар ва юридик шахслар учун бирдек қўлланилади.</w:t>
      </w:r>
    </w:p>
    <w:p w14:paraId="22AB77FE" w14:textId="77777777" w:rsidR="00286BB8" w:rsidRPr="00FE5482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E548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1. Давлат кафолати кимларга тааллуқли?</w:t>
      </w:r>
    </w:p>
    <w:p w14:paraId="27270126" w14:textId="77777777" w:rsidR="00286BB8" w:rsidRPr="00FE5482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E5482">
        <w:rPr>
          <w:rFonts w:ascii="Arial" w:eastAsia="Times New Roman" w:hAnsi="Arial" w:cs="Arial"/>
          <w:sz w:val="24"/>
          <w:szCs w:val="24"/>
          <w:lang w:eastAsia="en-US"/>
        </w:rPr>
        <w:t>Давлат кафолатлаш тизими қуйидагиларга тааллуқли омонатларга жорий этилади:</w:t>
      </w:r>
    </w:p>
    <w:p w14:paraId="1E63D949" w14:textId="77777777" w:rsidR="00286BB8" w:rsidRPr="00286BB8" w:rsidRDefault="00286BB8" w:rsidP="008F7C1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жисмоний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шахслар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фуқаролар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шу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жумладан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норезидентлар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);</w:t>
      </w:r>
    </w:p>
    <w:p w14:paraId="77938E1F" w14:textId="77777777" w:rsidR="00286BB8" w:rsidRPr="00286BB8" w:rsidRDefault="00286BB8" w:rsidP="008F7C1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якка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тартибдаги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тадбиркорлар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;</w:t>
      </w:r>
    </w:p>
    <w:p w14:paraId="72C03BD6" w14:textId="77777777" w:rsidR="00286BB8" w:rsidRPr="00286BB8" w:rsidRDefault="00286BB8" w:rsidP="008F7C1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юридик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шахслар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53C47541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Ҳимоя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Ўзбекистон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тижорат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банкларида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жойлаштирилган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маблағларга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ҳам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миллий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валютада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(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сўмда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),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ҳам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чет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эл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валютасида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тааллуқлидир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32D329D6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2. </w:t>
      </w:r>
      <w:proofErr w:type="spellStart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Қайси</w:t>
      </w:r>
      <w:proofErr w:type="spellEnd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омонатлар</w:t>
      </w:r>
      <w:proofErr w:type="spellEnd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кафолатланади</w:t>
      </w:r>
      <w:proofErr w:type="spellEnd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?</w:t>
      </w:r>
    </w:p>
    <w:p w14:paraId="69F8CDCE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Кафолатланадиган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объектларга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қуйидагилар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киради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08FC5A97" w14:textId="77777777" w:rsidR="00286BB8" w:rsidRPr="00286BB8" w:rsidRDefault="00286BB8" w:rsidP="008F7C1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шартномаси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шартномаси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пул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маблағларининг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қолдиғи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542C04E8" w14:textId="77777777" w:rsidR="00286BB8" w:rsidRPr="00286BB8" w:rsidRDefault="00286BB8" w:rsidP="008F7C1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шартнома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бажарилгунга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қадар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алоҳида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сақланаётган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(шу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жумладан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«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эскроу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»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хизмати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);</w:t>
      </w:r>
    </w:p>
    <w:p w14:paraId="37C51F02" w14:textId="77777777" w:rsidR="00286BB8" w:rsidRPr="00286BB8" w:rsidRDefault="00286BB8" w:rsidP="008F7C1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жамғарма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(депозит)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сертификатлари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билан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тасдиқланган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суммалар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FDD0CBD" w14:textId="0537021D" w:rsidR="00286BB8" w:rsidRPr="008F7C14" w:rsidRDefault="00286BB8" w:rsidP="008F7C1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пайтда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лекин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ҳали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тўланмаган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фоизлар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(агар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шартнома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сертификатда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назарда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тутилган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).</w:t>
      </w:r>
    </w:p>
    <w:p w14:paraId="2A58B827" w14:textId="77777777" w:rsidR="00286BB8" w:rsidRPr="008F7C14" w:rsidRDefault="00286BB8" w:rsidP="008F7C14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2A55989" w14:textId="78B2BBA3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Кафолатланмайдиган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омонатлар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қайси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маблағлардир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?</w:t>
      </w:r>
    </w:p>
    <w:p w14:paraId="1C688B74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кафолатланмайдиган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объектларнинг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аниқ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рўйхатини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белгилаб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Хусусан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қуйидагилар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кафолатланмайди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:</w:t>
      </w:r>
    </w:p>
    <w:p w14:paraId="71BA9AD6" w14:textId="77777777" w:rsidR="00286BB8" w:rsidRPr="00286BB8" w:rsidRDefault="00286BB8" w:rsidP="008F7C1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банклар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банкдан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ташқари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кредит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ташкилотлари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суғурта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компаниялари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лизинг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компаниялари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инвестиция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паёвий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фондлар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ҳамда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бошқа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лицензияланган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молиявий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ташкилотларнинг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омонатлари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;</w:t>
      </w:r>
    </w:p>
    <w:p w14:paraId="1ED2EF57" w14:textId="77777777" w:rsidR="00286BB8" w:rsidRPr="00286BB8" w:rsidRDefault="00286BB8" w:rsidP="008F7C1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Ўзбекистон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Республикаси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хорижий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давлатларнинг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давлат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органлари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давлат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ташкилотлари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давлат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корхоналарининг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D34B027" w14:textId="77777777" w:rsidR="00286BB8" w:rsidRPr="00286BB8" w:rsidRDefault="00286BB8" w:rsidP="008F7C1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билан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алоқадор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шахсларнинг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бошқаруви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аъзолари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асосий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ходимларининг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охирги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ойлик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ҳақи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унга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тенглаштирилган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доирасидаги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бундан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мустасно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);</w:t>
      </w:r>
    </w:p>
    <w:p w14:paraId="09568FF4" w14:textId="77777777" w:rsidR="00286BB8" w:rsidRPr="00286BB8" w:rsidRDefault="00286BB8" w:rsidP="008F7C1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хориждаги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филиаллари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қўшимча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(дочерний)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банкларида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жойлаштирилган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58DD3791" w14:textId="77777777" w:rsidR="00286BB8" w:rsidRPr="00286BB8" w:rsidRDefault="00286BB8" w:rsidP="008F7C1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индивидуал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жамғарма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пенсия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ҳисобларидаги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9A98ACC" w14:textId="77777777" w:rsidR="00286BB8" w:rsidRPr="00286BB8" w:rsidRDefault="00286BB8" w:rsidP="008F7C1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lastRenderedPageBreak/>
        <w:t>суднинг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кучга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кирган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қарори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билан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жиноий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фаолиятдан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даромадларни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легаллаштириш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терроризмни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молиялаштириш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оммавий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қирғин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қуролларини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тарқатиш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билан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боғлиқ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деб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топилган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83E74C6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Бундан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ташқари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қуйидагилар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деб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ҳисобланмайди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4F12A067" w14:textId="77777777" w:rsidR="00286BB8" w:rsidRPr="00286BB8" w:rsidRDefault="00286BB8" w:rsidP="008F7C1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меъёрий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капиталига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киритилган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акциялар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бошқа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инструментлар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8A06C68" w14:textId="77777777" w:rsidR="00286BB8" w:rsidRPr="00286BB8" w:rsidRDefault="00286BB8" w:rsidP="008F7C1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томонидан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чиқарилган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облигациялар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векселлар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бошқа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қарз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қимматли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қоғозлар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5D6B9537" w14:textId="77777777" w:rsidR="00286BB8" w:rsidRPr="00286BB8" w:rsidRDefault="00286BB8" w:rsidP="008F7C1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субординацияланган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қарз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мажбуриятлари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;</w:t>
      </w:r>
    </w:p>
    <w:p w14:paraId="03484B1B" w14:textId="77777777" w:rsidR="00286BB8" w:rsidRPr="00286BB8" w:rsidRDefault="00286BB8" w:rsidP="008F7C1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индивидуал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сейфларида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сақланаётган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07760269" w14:textId="77777777" w:rsidR="00286BB8" w:rsidRPr="00286BB8" w:rsidRDefault="00286BB8" w:rsidP="008F7C1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ҳосилали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молиявий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инструментлар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фьючерслар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форвардлар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опционлар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своплар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бошқалар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)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талаблар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55472114" w14:textId="77777777" w:rsidR="00286BB8" w:rsidRPr="00286BB8" w:rsidRDefault="00286BB8" w:rsidP="008F7C1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банкка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ишончли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бошқарувга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мол-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мулк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4CCF02C" w14:textId="0899257F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Кафолатланган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компенсация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миқдори</w:t>
      </w:r>
      <w:proofErr w:type="spellEnd"/>
    </w:p>
    <w:p w14:paraId="65269276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берганда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агентлиги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қуйидаги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миқдорда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амалга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оширади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13CDA7D7" w14:textId="4547FC37" w:rsidR="00286BB8" w:rsidRPr="00286BB8" w:rsidRDefault="00286BB8" w:rsidP="008F7C1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суммаси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200</w:t>
      </w:r>
      <w:r w:rsidR="00AF5E60" w:rsidRPr="00AF5E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86BB8">
        <w:rPr>
          <w:rFonts w:ascii="Arial" w:eastAsia="Times New Roman" w:hAnsi="Arial" w:cs="Arial"/>
          <w:sz w:val="24"/>
          <w:szCs w:val="24"/>
          <w:lang w:eastAsia="en-US"/>
        </w:rPr>
        <w:t>(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икки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юз) </w:t>
      </w:r>
      <w:proofErr w:type="spellStart"/>
      <w:r w:rsidR="00AF5E60">
        <w:rPr>
          <w:rFonts w:ascii="Arial" w:eastAsia="Times New Roman" w:hAnsi="Arial" w:cs="Arial"/>
          <w:sz w:val="24"/>
          <w:szCs w:val="24"/>
          <w:lang w:eastAsia="en-US"/>
        </w:rPr>
        <w:t>миллон</w:t>
      </w:r>
      <w:proofErr w:type="spellEnd"/>
      <w:r w:rsidR="00AF5E60"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сўмдан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ошмаса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— 100%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миқдорда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53AC96F4" w14:textId="77777777" w:rsidR="00286BB8" w:rsidRPr="00286BB8" w:rsidRDefault="00286BB8" w:rsidP="008F7C1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суммаси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ушбу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лимитдан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— максимум 200 миллион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сўм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F280328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Бир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мижознинг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барча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жамланади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—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компенсациянинг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юқори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чегараси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сони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валюта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турига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боғлиқ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эмас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D0DDA50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Чет эл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валютасидаги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Ўзбекистон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Республикаси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миллий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валютасида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сўмда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)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амалга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оширилади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миқдори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кундаги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Ўзбекистон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Республикаси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Марказий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банкининг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расмий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курси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ҳисобланади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77D2585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Агар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мижознинг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олдида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муддати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келган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мажбуриятлари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мавжуд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компенсация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суммаси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(лар)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олдидаги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қарз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ўртасидаги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фарқ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сифатида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аниқланади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BCF7AAD" w14:textId="6692886F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Кафолат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ҳолати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нима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деб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топилади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?</w:t>
      </w:r>
    </w:p>
    <w:p w14:paraId="31A1ECC8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сифатида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Ўзбекистон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Республикаси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Марказий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банки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томонидан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фаолиятини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амалга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ошириш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лицензиясини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қайтариб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мажбурий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тартибда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тугатиш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эътироф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этилади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Айнан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шу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санадан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компенсация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миқдори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ҳисобланади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жараёни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бошланади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C057565" w14:textId="1A4030B7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Тўловлар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муддатлари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ва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тартиби</w:t>
      </w:r>
      <w:proofErr w:type="spellEnd"/>
    </w:p>
    <w:p w14:paraId="68757B21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қайтаришни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бошлаш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муддатларини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босқичма-босқич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қисқартиришни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назарда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тутади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7E01A037" w14:textId="77777777" w:rsidR="00286BB8" w:rsidRPr="00286BB8" w:rsidRDefault="00286BB8" w:rsidP="008F7C1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2025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йил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— 20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куни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ичида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;</w:t>
      </w:r>
    </w:p>
    <w:p w14:paraId="1F6C4828" w14:textId="77777777" w:rsidR="00286BB8" w:rsidRPr="00286BB8" w:rsidRDefault="00286BB8" w:rsidP="008F7C1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2026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йил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1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январдан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— 15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ичида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818E8D8" w14:textId="77777777" w:rsidR="00286BB8" w:rsidRPr="00286BB8" w:rsidRDefault="00286BB8" w:rsidP="008F7C1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2027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йил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1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январдан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— 7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ичида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EA976CC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Омонатларни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агентлиги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ликвидатордан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реестрини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олгандан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кейин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2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ичида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бергани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тўғрисида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оммавий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ахборот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воситаларида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ўз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веб-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сайтида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эълон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қилади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(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муддатлари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тартиби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кўрсатилган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).</w:t>
      </w:r>
    </w:p>
    <w:p w14:paraId="163F18CC" w14:textId="5E0D6CEB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Компенсация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олиш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тартиби</w:t>
      </w:r>
      <w:proofErr w:type="spellEnd"/>
    </w:p>
    <w:p w14:paraId="0DA715CA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Компенсация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агент-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банкка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мурожаат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қилади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қуйидаги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ҳужжатларни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тақдим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этади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5DFBAB64" w14:textId="77777777" w:rsidR="00286BB8" w:rsidRPr="00286BB8" w:rsidRDefault="00286BB8" w:rsidP="008F7C14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шартномаси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/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шартномаси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1AEB0056" w14:textId="77777777" w:rsidR="00286BB8" w:rsidRPr="00286BB8" w:rsidRDefault="00286BB8" w:rsidP="008F7C14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шахсни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тасдиқловчи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ҳужжат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44789106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Меросхўрлар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ҳуқуқий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ворислар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уларнинг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ваколатли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вакиллари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тегишли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ҳужжатлар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мавжуд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бўлган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тақдирда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тўловни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оладилар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60606C58" w14:textId="2979F0BF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Тўловни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тўхтатиб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туриш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ёки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рад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этиш</w:t>
      </w:r>
      <w:proofErr w:type="spellEnd"/>
    </w:p>
    <w:p w14:paraId="6E294BA6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қуйидаги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ҳолларда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вақтинча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тўхтатиб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турилиши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мумкин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41481DC9" w14:textId="77777777" w:rsidR="00286BB8" w:rsidRPr="00286BB8" w:rsidRDefault="00286BB8" w:rsidP="008F7C14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тақдим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этилган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ҳужжатларнинг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ҳақиқийлигига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шубҳа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туғилганда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06AB72E0" w14:textId="77777777" w:rsidR="00286BB8" w:rsidRPr="00286BB8" w:rsidRDefault="00286BB8" w:rsidP="008F7C14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талаблари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реестр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маълумотлари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билан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мос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келмаганда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7A62C075" w14:textId="77777777" w:rsidR="00286BB8" w:rsidRPr="00286BB8" w:rsidRDefault="00286BB8" w:rsidP="008F7C14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арест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қўйилган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музлатиб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қўйилган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397E347A" w14:textId="77777777" w:rsidR="00286BB8" w:rsidRPr="00286BB8" w:rsidRDefault="00286BB8" w:rsidP="008F7C14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суд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низоси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мавжуд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9AFFC6B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рад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этилиши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ёки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аллақачон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суммани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қайтариш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қилиниши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мумкин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, агар:</w:t>
      </w:r>
    </w:p>
    <w:p w14:paraId="2F737561" w14:textId="77777777" w:rsidR="00286BB8" w:rsidRPr="00286BB8" w:rsidRDefault="00286BB8" w:rsidP="008F7C1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сохта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ҳужжатлар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тақдим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этилган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7B6AE247" w14:textId="77777777" w:rsidR="00286BB8" w:rsidRPr="00286BB8" w:rsidRDefault="00286BB8" w:rsidP="008F7C1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суднинг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кучга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кирган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қарори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билан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жиноий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фаолиятдан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олинганлиги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тасдиқланган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E77A80A" w14:textId="40BC8ABA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Қўшимча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компенсация</w:t>
      </w:r>
    </w:p>
    <w:p w14:paraId="5F767759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алоҳида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ҳолларда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қўшимча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компенсация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имконини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хусусан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5ECD8ADD" w14:textId="77777777" w:rsidR="00286BB8" w:rsidRPr="00286BB8" w:rsidRDefault="00286BB8" w:rsidP="008F7C1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мерос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ҳуқуқи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0E5531F4" w14:textId="77777777" w:rsidR="00286BB8" w:rsidRPr="00286BB8" w:rsidRDefault="00286BB8" w:rsidP="008F7C1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қўшилиши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шаклидаги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реорганизациясидан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кейин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ой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ичида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56A262B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Ушбу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тоифадаги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белгиланган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муддат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давомида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лимитдан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ошадиган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суммани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фоизларни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эрта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муддатда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ҳуқуқига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бўлиб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эрта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олиш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ҳеч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қандай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жарима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ундирилмайди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447393C" w14:textId="5307CE54" w:rsidR="00286BB8" w:rsidRPr="008F7C14" w:rsidRDefault="00286BB8" w:rsidP="008F7C14">
      <w:pPr>
        <w:pStyle w:val="ListParagraph"/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Талаб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ҳуқуқининг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Агентликка</w:t>
      </w:r>
      <w:proofErr w:type="spellEnd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8F7C1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ўтиши</w:t>
      </w:r>
      <w:proofErr w:type="spellEnd"/>
    </w:p>
    <w:p w14:paraId="3B6B5EC8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кундан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тугатилаётган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банкка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нисбатан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сумма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доирасидаги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ҳуқуқи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Омонатларни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агентлигига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ўтади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Бунда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белгиланган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лимитдан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ошадиган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сумма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банкка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нисбатан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мустақил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равишда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қўйиш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ҳуқуқини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сақлаб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қолади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Агентлик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ушбу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ортиқча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сумма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бўйича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тўлов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жавобгарликка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тортилмайди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11FEA09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Хулоса</w:t>
      </w:r>
      <w:proofErr w:type="spellEnd"/>
    </w:p>
    <w:p w14:paraId="60622AC4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Омонатларни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кафолатлаш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тўғрисидаги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қонун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мижозларини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ҳимоя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қилишнинг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тизимли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механизмини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шакллантиради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юз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берганда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белгиланган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лимит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доирасида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қайтарилишини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таъминлайди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Жисмоний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шахслар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бу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молиявий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барқарорлик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шахсий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жамғармаларни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ҳимоя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қилиш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воситасидир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Юридик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шахслар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учун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эса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бу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маблағларни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банкларда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жойлаштиришда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хавфларни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бошқаришнинг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элементи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қўшимча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ҳуқуқий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ҳисобланади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10F96B1" w14:textId="77777777" w:rsidR="00286BB8" w:rsidRPr="00286BB8" w:rsidRDefault="00286BB8" w:rsidP="008F7C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Бир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вкладчига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бир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банкда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200 миллион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сўмгача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бўлган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давлат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кафолати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банк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тизимига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ишончнинг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муҳим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омили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бўлиб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унинг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барқарор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ривожланишига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хизмат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Pr="00286BB8">
        <w:rPr>
          <w:rFonts w:ascii="Arial" w:eastAsia="Times New Roman" w:hAnsi="Arial" w:cs="Arial"/>
          <w:sz w:val="24"/>
          <w:szCs w:val="24"/>
          <w:lang w:eastAsia="en-US"/>
        </w:rPr>
        <w:t>қилади</w:t>
      </w:r>
      <w:proofErr w:type="spellEnd"/>
      <w:r w:rsidRPr="00286BB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6C279CA" w14:textId="280CBD86" w:rsidR="003D20BC" w:rsidRPr="008F7C14" w:rsidRDefault="003D20BC" w:rsidP="008F7C14">
      <w:pPr>
        <w:pStyle w:val="NormalWeb"/>
        <w:jc w:val="both"/>
        <w:rPr>
          <w:rFonts w:ascii="Arial" w:hAnsi="Arial" w:cs="Arial"/>
          <w:sz w:val="24"/>
          <w:szCs w:val="24"/>
        </w:rPr>
      </w:pPr>
    </w:p>
    <w:sectPr w:rsidR="003D20BC" w:rsidRPr="008F7C14" w:rsidSect="00BF69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EF3"/>
    <w:multiLevelType w:val="multilevel"/>
    <w:tmpl w:val="7BE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01312"/>
    <w:multiLevelType w:val="multilevel"/>
    <w:tmpl w:val="9364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0B38"/>
    <w:multiLevelType w:val="multilevel"/>
    <w:tmpl w:val="137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97C0B"/>
    <w:multiLevelType w:val="multilevel"/>
    <w:tmpl w:val="E754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A30BF"/>
    <w:multiLevelType w:val="multilevel"/>
    <w:tmpl w:val="780E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B2CB4"/>
    <w:multiLevelType w:val="multilevel"/>
    <w:tmpl w:val="694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2626D"/>
    <w:multiLevelType w:val="multilevel"/>
    <w:tmpl w:val="73E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E76CB"/>
    <w:multiLevelType w:val="multilevel"/>
    <w:tmpl w:val="3A5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E4404"/>
    <w:multiLevelType w:val="multilevel"/>
    <w:tmpl w:val="1C0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46AC5"/>
    <w:multiLevelType w:val="multilevel"/>
    <w:tmpl w:val="C81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12487"/>
    <w:multiLevelType w:val="multilevel"/>
    <w:tmpl w:val="01E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2172D"/>
    <w:multiLevelType w:val="hybridMultilevel"/>
    <w:tmpl w:val="B0DEA2FE"/>
    <w:lvl w:ilvl="0" w:tplc="97844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E0E9A"/>
    <w:multiLevelType w:val="multilevel"/>
    <w:tmpl w:val="A6C0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B7247"/>
    <w:multiLevelType w:val="multilevel"/>
    <w:tmpl w:val="D8C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61E59"/>
    <w:multiLevelType w:val="multilevel"/>
    <w:tmpl w:val="C48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040FB"/>
    <w:multiLevelType w:val="multilevel"/>
    <w:tmpl w:val="4A5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C7CDA"/>
    <w:multiLevelType w:val="multilevel"/>
    <w:tmpl w:val="259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82FD1"/>
    <w:multiLevelType w:val="multilevel"/>
    <w:tmpl w:val="3BBE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A61D3"/>
    <w:multiLevelType w:val="multilevel"/>
    <w:tmpl w:val="6A4E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0D7C0F"/>
    <w:multiLevelType w:val="multilevel"/>
    <w:tmpl w:val="B0F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8"/>
  </w:num>
  <w:num w:numId="5">
    <w:abstractNumId w:val="17"/>
  </w:num>
  <w:num w:numId="6">
    <w:abstractNumId w:val="5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 w:numId="11">
    <w:abstractNumId w:val="1"/>
  </w:num>
  <w:num w:numId="12">
    <w:abstractNumId w:val="19"/>
  </w:num>
  <w:num w:numId="13">
    <w:abstractNumId w:val="8"/>
  </w:num>
  <w:num w:numId="14">
    <w:abstractNumId w:val="15"/>
  </w:num>
  <w:num w:numId="15">
    <w:abstractNumId w:val="13"/>
  </w:num>
  <w:num w:numId="16">
    <w:abstractNumId w:val="16"/>
  </w:num>
  <w:num w:numId="17">
    <w:abstractNumId w:val="3"/>
  </w:num>
  <w:num w:numId="18">
    <w:abstractNumId w:val="4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D2"/>
    <w:rsid w:val="00136B51"/>
    <w:rsid w:val="00180599"/>
    <w:rsid w:val="00286BB8"/>
    <w:rsid w:val="00295643"/>
    <w:rsid w:val="003D20BC"/>
    <w:rsid w:val="00517AC5"/>
    <w:rsid w:val="0065440E"/>
    <w:rsid w:val="006D78D1"/>
    <w:rsid w:val="008F7C14"/>
    <w:rsid w:val="009F6228"/>
    <w:rsid w:val="00A80A7D"/>
    <w:rsid w:val="00AF5E60"/>
    <w:rsid w:val="00B822B5"/>
    <w:rsid w:val="00BF693B"/>
    <w:rsid w:val="00C2470E"/>
    <w:rsid w:val="00C639D2"/>
    <w:rsid w:val="00CC4B76"/>
    <w:rsid w:val="00E92E34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23E96"/>
  <w15:chartTrackingRefBased/>
  <w15:docId w15:val="{FF56F6BE-9DB0-40E8-BFDE-7296D877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3B"/>
    <w:pPr>
      <w:spacing w:after="0" w:line="240" w:lineRule="auto"/>
    </w:pPr>
    <w:rPr>
      <w:rFonts w:ascii="Calibri" w:hAnsi="Calibri" w:cs="Calibri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F69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693B"/>
    <w:rPr>
      <w:rFonts w:ascii="Calibri" w:hAnsi="Calibri" w:cs="Calibri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unhideWhenUsed/>
    <w:rsid w:val="00BF693B"/>
  </w:style>
  <w:style w:type="character" w:styleId="Strong">
    <w:name w:val="Strong"/>
    <w:basedOn w:val="DefaultParagraphFont"/>
    <w:uiPriority w:val="22"/>
    <w:qFormat/>
    <w:rsid w:val="00BF69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E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E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Joldasova</dc:creator>
  <cp:keywords/>
  <dc:description/>
  <cp:lastModifiedBy>Anna Joldasova</cp:lastModifiedBy>
  <cp:revision>6</cp:revision>
  <dcterms:created xsi:type="dcterms:W3CDTF">2026-02-18T08:22:00Z</dcterms:created>
  <dcterms:modified xsi:type="dcterms:W3CDTF">2026-02-18T11:00:00Z</dcterms:modified>
</cp:coreProperties>
</file>